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424E" w:rsidRPr="00FA4EAF" w:rsidRDefault="0094424E" w:rsidP="0094424E">
      <w:pPr>
        <w:rPr>
          <w:sz w:val="26"/>
          <w:szCs w:val="26"/>
          <w:rtl/>
        </w:rPr>
      </w:pPr>
      <w:bookmarkStart w:id="0" w:name="_GoBack"/>
      <w:bookmarkEnd w:id="0"/>
      <w:r w:rsidRPr="00FA4EAF">
        <w:rPr>
          <w:sz w:val="26"/>
          <w:szCs w:val="26"/>
          <w:rtl/>
        </w:rPr>
        <w:t xml:space="preserve"> </w:t>
      </w: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43"/>
        <w:gridCol w:w="2506"/>
        <w:gridCol w:w="1800"/>
        <w:gridCol w:w="3771"/>
      </w:tblGrid>
      <w:tr w:rsidR="0094424E" w:rsidRPr="00FA4EAF">
        <w:trPr>
          <w:trHeight w:val="295"/>
          <w:jc w:val="center"/>
        </w:trPr>
        <w:tc>
          <w:tcPr>
            <w:tcW w:w="5049" w:type="dxa"/>
            <w:gridSpan w:val="3"/>
          </w:tcPr>
          <w:p w:rsidR="0094424E" w:rsidRPr="00FA4EAF" w:rsidRDefault="0094424E">
            <w:pPr>
              <w:rPr>
                <w:rFonts w:ascii="Arial" w:hAnsi="Arial"/>
                <w:b/>
                <w:bCs/>
                <w:noProof w:val="0"/>
                <w:sz w:val="26"/>
                <w:szCs w:val="26"/>
                <w:rtl/>
              </w:rPr>
            </w:pPr>
          </w:p>
        </w:tc>
        <w:tc>
          <w:tcPr>
            <w:tcW w:w="3771" w:type="dxa"/>
          </w:tcPr>
          <w:p w:rsidR="0094424E" w:rsidRPr="00FA4EAF" w:rsidRDefault="0094424E" w:rsidP="00896889">
            <w:pPr>
              <w:rPr>
                <w:rFonts w:ascii="Arial" w:hAnsi="Arial"/>
                <w:b/>
                <w:bCs/>
                <w:noProof w:val="0"/>
                <w:sz w:val="26"/>
                <w:szCs w:val="26"/>
                <w:rtl/>
              </w:rPr>
            </w:pPr>
            <w:r w:rsidRPr="00FA4EAF">
              <w:rPr>
                <w:rFonts w:ascii="Arial" w:hAnsi="Arial"/>
                <w:b/>
                <w:bCs/>
                <w:noProof w:val="0"/>
                <w:sz w:val="26"/>
                <w:szCs w:val="26"/>
                <w:rtl/>
              </w:rPr>
              <w:t>מספר בקשה:</w:t>
            </w:r>
            <w:sdt>
              <w:sdtPr>
                <w:rPr>
                  <w:sz w:val="26"/>
                  <w:szCs w:val="26"/>
                  <w:rtl/>
                </w:rPr>
                <w:alias w:val="1193"/>
                <w:tag w:val="1193"/>
                <w:id w:val="-636028727"/>
                <w:text w:multiLine="1"/>
              </w:sdtPr>
              <w:sdtEndPr/>
              <w:sdtContent>
                <w:r>
                  <w:rPr>
                    <w:rFonts w:ascii="Arial" w:hAnsi="Arial"/>
                    <w:b/>
                    <w:bCs/>
                    <w:noProof w:val="0"/>
                    <w:sz w:val="26"/>
                    <w:szCs w:val="26"/>
                    <w:rtl/>
                  </w:rPr>
                  <w:t>2</w:t>
                </w:r>
              </w:sdtContent>
            </w:sdt>
          </w:p>
        </w:tc>
      </w:tr>
      <w:tr w:rsidR="0094424E" w:rsidRPr="00FA4EAF">
        <w:trPr>
          <w:jc w:val="center"/>
        </w:trPr>
        <w:tc>
          <w:tcPr>
            <w:tcW w:w="743" w:type="dxa"/>
          </w:tcPr>
          <w:p w:rsidR="0094424E" w:rsidRPr="00FA4EAF" w:rsidRDefault="00D74378" w:rsidP="00E962E3">
            <w:pPr>
              <w:jc w:val="both"/>
              <w:rPr>
                <w:rFonts w:ascii="Arial" w:hAnsi="Arial"/>
                <w:b/>
                <w:bCs/>
                <w:sz w:val="26"/>
                <w:szCs w:val="26"/>
                <w:rtl/>
              </w:rPr>
            </w:pPr>
            <w:r>
              <w:rPr>
                <w:rFonts w:ascii="Arial" w:hAnsi="Arial" w:hint="cs"/>
                <w:b/>
                <w:bCs/>
                <w:sz w:val="26"/>
                <w:szCs w:val="26"/>
                <w:rtl/>
              </w:rPr>
              <w:t>ל</w:t>
            </w:r>
            <w:r w:rsidR="0094424E" w:rsidRPr="00FA4EAF">
              <w:rPr>
                <w:rFonts w:ascii="Arial" w:hAnsi="Arial"/>
                <w:b/>
                <w:bCs/>
                <w:sz w:val="26"/>
                <w:szCs w:val="26"/>
                <w:rtl/>
              </w:rPr>
              <w:t xml:space="preserve">פני </w:t>
            </w:r>
          </w:p>
        </w:tc>
        <w:tc>
          <w:tcPr>
            <w:tcW w:w="8077" w:type="dxa"/>
            <w:gridSpan w:val="3"/>
          </w:tcPr>
          <w:p w:rsidR="0094424E" w:rsidRPr="00FA4EAF" w:rsidRDefault="000529D2">
            <w:pPr>
              <w:rPr>
                <w:rFonts w:ascii="Arial" w:hAnsi="Arial"/>
                <w:b/>
                <w:bCs/>
                <w:sz w:val="26"/>
                <w:szCs w:val="26"/>
                <w:rtl/>
              </w:rPr>
            </w:pPr>
            <w:r w:rsidRPr="00FA4EAF">
              <w:rPr>
                <w:rFonts w:ascii="Arial" w:hAnsi="Arial" w:hint="cs"/>
                <w:b/>
                <w:bCs/>
                <w:sz w:val="26"/>
                <w:szCs w:val="26"/>
                <w:rtl/>
              </w:rPr>
              <w:t>כבוד</w:t>
            </w:r>
            <w:r w:rsidR="0094424E" w:rsidRPr="00FA4EAF">
              <w:rPr>
                <w:rFonts w:ascii="Arial" w:hAnsi="Arial" w:hint="cs"/>
                <w:b/>
                <w:bCs/>
                <w:sz w:val="26"/>
                <w:szCs w:val="26"/>
                <w:rtl/>
              </w:rPr>
              <w:t xml:space="preserve"> ה</w:t>
            </w:r>
            <w:sdt>
              <w:sdtPr>
                <w:rPr>
                  <w:sz w:val="26"/>
                  <w:szCs w:val="26"/>
                  <w:rtl/>
                </w:rPr>
                <w:alias w:val="1574"/>
                <w:tag w:val="1574"/>
                <w:id w:val="414602899"/>
                <w:text w:multiLine="1"/>
              </w:sdtPr>
              <w:sdtEndPr/>
              <w:sdtContent>
                <w:r>
                  <w:rPr>
                    <w:rFonts w:ascii="Arial" w:hAnsi="Arial"/>
                    <w:b/>
                    <w:bCs/>
                    <w:sz w:val="26"/>
                    <w:szCs w:val="26"/>
                    <w:rtl/>
                  </w:rPr>
                  <w:t>שופטת</w:t>
                </w:r>
              </w:sdtContent>
            </w:sdt>
            <w:r w:rsidR="0094424E" w:rsidRPr="00FA4EAF">
              <w:rPr>
                <w:rFonts w:ascii="Arial" w:hAnsi="Arial" w:hint="cs"/>
                <w:b/>
                <w:bCs/>
                <w:sz w:val="26"/>
                <w:szCs w:val="26"/>
                <w:rtl/>
              </w:rPr>
              <w:t xml:space="preserve">  </w:t>
            </w:r>
            <w:sdt>
              <w:sdtPr>
                <w:rPr>
                  <w:sz w:val="26"/>
                  <w:szCs w:val="26"/>
                  <w:rtl/>
                </w:rPr>
                <w:alias w:val="1573"/>
                <w:tag w:val="1573"/>
                <w:id w:val="-1751030614"/>
                <w:text w:multiLine="1"/>
              </w:sdtPr>
              <w:sdtEndPr/>
              <w:sdtContent>
                <w:r>
                  <w:rPr>
                    <w:rFonts w:ascii="Arial" w:hAnsi="Arial"/>
                    <w:b/>
                    <w:bCs/>
                    <w:sz w:val="26"/>
                    <w:szCs w:val="26"/>
                    <w:rtl/>
                  </w:rPr>
                  <w:t>תמר סנונית פורר</w:t>
                </w:r>
              </w:sdtContent>
            </w:sdt>
          </w:p>
          <w:p w:rsidR="0094424E" w:rsidRPr="00FA4EAF" w:rsidRDefault="0094424E">
            <w:pPr>
              <w:rPr>
                <w:rFonts w:ascii="Arial" w:hAnsi="Arial" w:cs="FrankRuehl"/>
                <w:sz w:val="26"/>
                <w:szCs w:val="26"/>
                <w:highlight w:val="yellow"/>
              </w:rPr>
            </w:pPr>
          </w:p>
        </w:tc>
      </w:tr>
      <w:tr w:rsidR="0094424E" w:rsidRPr="00FA4EAF" w:rsidTr="00465D36">
        <w:trPr>
          <w:jc w:val="center"/>
        </w:trPr>
        <w:tc>
          <w:tcPr>
            <w:tcW w:w="3249" w:type="dxa"/>
            <w:gridSpan w:val="2"/>
          </w:tcPr>
          <w:p w:rsidR="0094424E" w:rsidRPr="00FA4EAF" w:rsidRDefault="0094424E" w:rsidP="00465D36">
            <w:pPr>
              <w:rPr>
                <w:rFonts w:ascii="Arial" w:hAnsi="Arial"/>
                <w:b/>
                <w:bCs/>
                <w:noProof w:val="0"/>
                <w:sz w:val="26"/>
                <w:szCs w:val="26"/>
              </w:rPr>
            </w:pPr>
          </w:p>
          <w:p w:rsidR="00116316" w:rsidRDefault="00FC11E6" w:rsidP="00FC11E6">
            <w:pPr>
              <w:rPr>
                <w:rFonts w:ascii="Arial" w:hAnsi="Arial"/>
                <w:b/>
                <w:bCs/>
                <w:noProof w:val="0"/>
                <w:sz w:val="26"/>
                <w:szCs w:val="26"/>
                <w:rtl/>
              </w:rPr>
            </w:pPr>
            <w:r w:rsidRPr="00FC11E6">
              <w:rPr>
                <w:rFonts w:ascii="Arial" w:hAnsi="Arial" w:hint="cs"/>
                <w:b/>
                <w:bCs/>
                <w:noProof w:val="0"/>
                <w:sz w:val="26"/>
                <w:szCs w:val="26"/>
                <w:u w:val="single"/>
                <w:rtl/>
              </w:rPr>
              <w:t>המבקשים:</w:t>
            </w:r>
          </w:p>
        </w:tc>
        <w:tc>
          <w:tcPr>
            <w:tcW w:w="5571" w:type="dxa"/>
            <w:gridSpan w:val="2"/>
          </w:tcPr>
          <w:p w:rsidR="0094424E" w:rsidRPr="00FA4EAF" w:rsidRDefault="0094424E">
            <w:pPr>
              <w:rPr>
                <w:rFonts w:ascii="Arial" w:hAnsi="Arial"/>
                <w:b/>
                <w:bCs/>
                <w:noProof w:val="0"/>
                <w:sz w:val="26"/>
                <w:szCs w:val="26"/>
                <w:rtl/>
              </w:rPr>
            </w:pPr>
          </w:p>
          <w:p w:rsidR="003763AB" w:rsidRDefault="001F5DB6">
            <w:pPr>
              <w:rPr>
                <w:sz w:val="26"/>
                <w:szCs w:val="26"/>
                <w:rtl/>
              </w:rPr>
            </w:pPr>
            <w:r>
              <w:rPr>
                <w:rFonts w:ascii="Arial" w:hAnsi="Arial"/>
                <w:b/>
                <w:bCs/>
                <w:noProof w:val="0"/>
                <w:sz w:val="26"/>
                <w:szCs w:val="26"/>
                <w:rtl/>
              </w:rPr>
              <w:t>1</w:t>
            </w:r>
            <w:r w:rsidR="0094424E" w:rsidRPr="00FA4EAF">
              <w:rPr>
                <w:b/>
                <w:bCs/>
                <w:noProof w:val="0"/>
                <w:sz w:val="26"/>
                <w:szCs w:val="26"/>
                <w:rtl/>
              </w:rPr>
              <w:t>.</w:t>
            </w:r>
            <w:r w:rsidR="0094424E" w:rsidRPr="00FA4EAF">
              <w:rPr>
                <w:rFonts w:hint="cs"/>
                <w:b/>
                <w:bCs/>
                <w:noProof w:val="0"/>
                <w:sz w:val="26"/>
                <w:szCs w:val="26"/>
                <w:rtl/>
              </w:rPr>
              <w:t xml:space="preserve"> </w:t>
            </w:r>
            <w:r>
              <w:rPr>
                <w:rFonts w:ascii="Arial" w:hAnsi="Arial"/>
                <w:b/>
                <w:bCs/>
                <w:noProof w:val="0"/>
                <w:sz w:val="26"/>
                <w:szCs w:val="26"/>
                <w:rtl/>
              </w:rPr>
              <w:t>דן זכריה</w:t>
            </w:r>
          </w:p>
          <w:p w:rsidR="003763AB" w:rsidRDefault="001F5DB6">
            <w:pPr>
              <w:rPr>
                <w:sz w:val="26"/>
                <w:szCs w:val="26"/>
                <w:rtl/>
              </w:rPr>
            </w:pPr>
            <w:r>
              <w:rPr>
                <w:rFonts w:ascii="Arial" w:hAnsi="Arial"/>
                <w:b/>
                <w:bCs/>
                <w:noProof w:val="0"/>
                <w:sz w:val="26"/>
                <w:szCs w:val="26"/>
                <w:rtl/>
              </w:rPr>
              <w:t>2</w:t>
            </w:r>
            <w:r w:rsidR="0094424E" w:rsidRPr="00FA4EAF">
              <w:rPr>
                <w:b/>
                <w:bCs/>
                <w:noProof w:val="0"/>
                <w:sz w:val="26"/>
                <w:szCs w:val="26"/>
                <w:rtl/>
              </w:rPr>
              <w:t>.</w:t>
            </w:r>
            <w:r w:rsidR="0094424E" w:rsidRPr="00FA4EAF">
              <w:rPr>
                <w:rFonts w:hint="cs"/>
                <w:b/>
                <w:bCs/>
                <w:noProof w:val="0"/>
                <w:sz w:val="26"/>
                <w:szCs w:val="26"/>
                <w:rtl/>
              </w:rPr>
              <w:t xml:space="preserve"> </w:t>
            </w:r>
            <w:r>
              <w:rPr>
                <w:rFonts w:ascii="Arial" w:hAnsi="Arial"/>
                <w:b/>
                <w:bCs/>
                <w:noProof w:val="0"/>
                <w:sz w:val="26"/>
                <w:szCs w:val="26"/>
                <w:rtl/>
              </w:rPr>
              <w:t>אייקון מילאנו בע"מ</w:t>
            </w:r>
          </w:p>
          <w:p w:rsidR="0094424E" w:rsidRPr="00FA4EAF" w:rsidRDefault="001D3441">
            <w:pPr>
              <w:rPr>
                <w:b/>
                <w:bCs/>
                <w:noProof w:val="0"/>
                <w:sz w:val="26"/>
                <w:szCs w:val="26"/>
              </w:rPr>
            </w:pPr>
            <w:r>
              <w:rPr>
                <w:rFonts w:hint="cs"/>
                <w:sz w:val="26"/>
                <w:szCs w:val="26"/>
                <w:rtl/>
              </w:rPr>
              <w:t>ע"י ב"כ עו"ד</w:t>
            </w:r>
            <w:r w:rsidR="00FC11E6">
              <w:rPr>
                <w:rFonts w:hint="cs"/>
                <w:sz w:val="26"/>
                <w:szCs w:val="26"/>
                <w:rtl/>
              </w:rPr>
              <w:t xml:space="preserve"> פרזנטי ועו"ד אולשן שריב </w:t>
            </w:r>
          </w:p>
        </w:tc>
      </w:tr>
      <w:tr w:rsidR="0094424E" w:rsidRPr="00FA4EAF">
        <w:trPr>
          <w:jc w:val="center"/>
        </w:trPr>
        <w:tc>
          <w:tcPr>
            <w:tcW w:w="8820" w:type="dxa"/>
            <w:gridSpan w:val="4"/>
          </w:tcPr>
          <w:p w:rsidR="0094424E" w:rsidRPr="00FA4EAF" w:rsidRDefault="0094424E">
            <w:pPr>
              <w:rPr>
                <w:rFonts w:ascii="Arial" w:hAnsi="Arial"/>
                <w:b/>
                <w:bCs/>
                <w:noProof w:val="0"/>
                <w:sz w:val="26"/>
                <w:szCs w:val="26"/>
                <w:rtl/>
              </w:rPr>
            </w:pPr>
          </w:p>
          <w:p w:rsidR="0094424E" w:rsidRPr="00FA4EAF" w:rsidRDefault="0094424E">
            <w:pPr>
              <w:jc w:val="center"/>
              <w:rPr>
                <w:rFonts w:ascii="Arial" w:hAnsi="Arial"/>
                <w:b/>
                <w:bCs/>
                <w:noProof w:val="0"/>
                <w:sz w:val="26"/>
                <w:szCs w:val="26"/>
                <w:rtl/>
              </w:rPr>
            </w:pPr>
            <w:r w:rsidRPr="00FA4EAF">
              <w:rPr>
                <w:rFonts w:ascii="Arial" w:hAnsi="Arial"/>
                <w:b/>
                <w:bCs/>
                <w:noProof w:val="0"/>
                <w:sz w:val="26"/>
                <w:szCs w:val="26"/>
                <w:rtl/>
              </w:rPr>
              <w:t>נגד</w:t>
            </w:r>
          </w:p>
          <w:p w:rsidR="0094424E" w:rsidRPr="00FA4EAF" w:rsidRDefault="0094424E">
            <w:pPr>
              <w:rPr>
                <w:rFonts w:ascii="Arial" w:hAnsi="Arial"/>
                <w:b/>
                <w:bCs/>
                <w:noProof w:val="0"/>
                <w:sz w:val="26"/>
                <w:szCs w:val="26"/>
              </w:rPr>
            </w:pPr>
          </w:p>
        </w:tc>
      </w:tr>
      <w:tr w:rsidR="0094424E" w:rsidRPr="00FA4EAF">
        <w:trPr>
          <w:jc w:val="center"/>
        </w:trPr>
        <w:tc>
          <w:tcPr>
            <w:tcW w:w="3249" w:type="dxa"/>
            <w:gridSpan w:val="2"/>
          </w:tcPr>
          <w:p w:rsidR="0094424E" w:rsidRPr="00FA4EAF" w:rsidRDefault="0094424E">
            <w:pPr>
              <w:rPr>
                <w:rFonts w:ascii="Arial" w:hAnsi="Arial"/>
                <w:b/>
                <w:bCs/>
                <w:noProof w:val="0"/>
                <w:sz w:val="26"/>
                <w:szCs w:val="26"/>
                <w:rtl/>
              </w:rPr>
            </w:pPr>
          </w:p>
          <w:p w:rsidR="0094424E" w:rsidRPr="00FA4EAF" w:rsidRDefault="00FC11E6" w:rsidP="00FC11E6">
            <w:pPr>
              <w:rPr>
                <w:rFonts w:ascii="Arial" w:hAnsi="Arial"/>
                <w:b/>
                <w:bCs/>
                <w:noProof w:val="0"/>
                <w:sz w:val="26"/>
                <w:szCs w:val="26"/>
              </w:rPr>
            </w:pPr>
            <w:r w:rsidRPr="00FC11E6">
              <w:rPr>
                <w:rFonts w:ascii="Arial" w:hAnsi="Arial" w:hint="cs"/>
                <w:b/>
                <w:bCs/>
                <w:noProof w:val="0"/>
                <w:sz w:val="26"/>
                <w:szCs w:val="26"/>
                <w:u w:val="single"/>
                <w:rtl/>
              </w:rPr>
              <w:t>המשיבים:</w:t>
            </w:r>
          </w:p>
        </w:tc>
        <w:tc>
          <w:tcPr>
            <w:tcW w:w="5571" w:type="dxa"/>
            <w:gridSpan w:val="2"/>
          </w:tcPr>
          <w:p w:rsidR="0094424E" w:rsidRPr="00FA4EAF" w:rsidRDefault="0094424E">
            <w:pPr>
              <w:rPr>
                <w:rFonts w:ascii="Arial" w:hAnsi="Arial"/>
                <w:b/>
                <w:bCs/>
                <w:noProof w:val="0"/>
                <w:sz w:val="26"/>
                <w:szCs w:val="26"/>
                <w:rtl/>
              </w:rPr>
            </w:pPr>
          </w:p>
          <w:p w:rsidR="00FC11E6" w:rsidRDefault="00A83C5F" w:rsidP="00FC11E6">
            <w:pPr>
              <w:rPr>
                <w:sz w:val="26"/>
                <w:szCs w:val="26"/>
              </w:rPr>
            </w:pPr>
            <w:sdt>
              <w:sdtPr>
                <w:rPr>
                  <w:sz w:val="26"/>
                  <w:szCs w:val="26"/>
                  <w:rtl/>
                </w:rPr>
                <w:alias w:val="1571"/>
                <w:tag w:val="1571"/>
                <w:id w:val="1028836282"/>
                <w:text w:multiLine="1"/>
              </w:sdtPr>
              <w:sdtEndPr/>
              <w:sdtContent>
                <w:r w:rsidR="00FC11E6">
                  <w:rPr>
                    <w:rFonts w:ascii="Arial" w:hAnsi="Arial"/>
                    <w:b/>
                    <w:bCs/>
                    <w:noProof w:val="0"/>
                    <w:sz w:val="26"/>
                    <w:szCs w:val="26"/>
                    <w:rtl/>
                  </w:rPr>
                  <w:t>1</w:t>
                </w:r>
              </w:sdtContent>
            </w:sdt>
            <w:r w:rsidR="00FC11E6">
              <w:rPr>
                <w:rFonts w:ascii="Arial" w:hAnsi="Arial"/>
                <w:b/>
                <w:bCs/>
                <w:noProof w:val="0"/>
                <w:sz w:val="26"/>
                <w:szCs w:val="26"/>
                <w:rtl/>
              </w:rPr>
              <w:t xml:space="preserve">. </w:t>
            </w:r>
            <w:sdt>
              <w:sdtPr>
                <w:rPr>
                  <w:sz w:val="26"/>
                  <w:szCs w:val="26"/>
                  <w:rtl/>
                </w:rPr>
                <w:alias w:val="1486"/>
                <w:tag w:val="1486"/>
                <w:id w:val="-309872140"/>
                <w:text w:multiLine="1"/>
              </w:sdtPr>
              <w:sdtEndPr/>
              <w:sdtContent>
                <w:r w:rsidR="00FC11E6">
                  <w:rPr>
                    <w:rFonts w:ascii="Arial" w:hAnsi="Arial"/>
                    <w:b/>
                    <w:bCs/>
                    <w:noProof w:val="0"/>
                    <w:sz w:val="26"/>
                    <w:szCs w:val="26"/>
                    <w:rtl/>
                  </w:rPr>
                  <w:t>ריימל יבוא ושיווק בע"מ</w:t>
                </w:r>
              </w:sdtContent>
            </w:sdt>
          </w:p>
          <w:p w:rsidR="00FC11E6" w:rsidRPr="00FC11E6" w:rsidRDefault="00A83C5F" w:rsidP="00FC11E6">
            <w:pPr>
              <w:rPr>
                <w:sz w:val="26"/>
                <w:szCs w:val="26"/>
                <w:rtl/>
              </w:rPr>
            </w:pPr>
            <w:sdt>
              <w:sdtPr>
                <w:rPr>
                  <w:sz w:val="26"/>
                  <w:szCs w:val="26"/>
                  <w:rtl/>
                </w:rPr>
                <w:alias w:val="1571"/>
                <w:tag w:val="1571"/>
                <w:id w:val="136543735"/>
                <w:text w:multiLine="1"/>
              </w:sdtPr>
              <w:sdtEndPr/>
              <w:sdtContent>
                <w:r w:rsidR="00FC11E6">
                  <w:rPr>
                    <w:rFonts w:ascii="Arial" w:hAnsi="Arial"/>
                    <w:b/>
                    <w:bCs/>
                    <w:noProof w:val="0"/>
                    <w:sz w:val="26"/>
                    <w:szCs w:val="26"/>
                    <w:rtl/>
                  </w:rPr>
                  <w:t>2</w:t>
                </w:r>
              </w:sdtContent>
            </w:sdt>
            <w:r w:rsidR="00FC11E6">
              <w:rPr>
                <w:rFonts w:ascii="Arial" w:hAnsi="Arial"/>
                <w:b/>
                <w:bCs/>
                <w:noProof w:val="0"/>
                <w:sz w:val="26"/>
                <w:szCs w:val="26"/>
                <w:rtl/>
              </w:rPr>
              <w:t xml:space="preserve">. </w:t>
            </w:r>
            <w:sdt>
              <w:sdtPr>
                <w:rPr>
                  <w:sz w:val="26"/>
                  <w:szCs w:val="26"/>
                  <w:rtl/>
                </w:rPr>
                <w:alias w:val="1486"/>
                <w:tag w:val="1486"/>
                <w:id w:val="1030843536"/>
                <w:text w:multiLine="1"/>
              </w:sdtPr>
              <w:sdtEndPr/>
              <w:sdtContent>
                <w:r w:rsidR="00FC11E6">
                  <w:rPr>
                    <w:rFonts w:ascii="Arial" w:hAnsi="Arial"/>
                    <w:b/>
                    <w:bCs/>
                    <w:noProof w:val="0"/>
                    <w:sz w:val="26"/>
                    <w:szCs w:val="26"/>
                    <w:rtl/>
                  </w:rPr>
                  <w:t>יונה גיא</w:t>
                </w:r>
              </w:sdtContent>
            </w:sdt>
          </w:p>
          <w:p w:rsidR="00FC11E6" w:rsidRPr="00FC11E6" w:rsidRDefault="00A83C5F" w:rsidP="00FC11E6">
            <w:pPr>
              <w:rPr>
                <w:sz w:val="26"/>
                <w:szCs w:val="26"/>
                <w:rtl/>
              </w:rPr>
            </w:pPr>
            <w:sdt>
              <w:sdtPr>
                <w:rPr>
                  <w:sz w:val="26"/>
                  <w:szCs w:val="26"/>
                  <w:rtl/>
                </w:rPr>
                <w:alias w:val="1571"/>
                <w:tag w:val="1571"/>
                <w:id w:val="1275987173"/>
                <w:text w:multiLine="1"/>
              </w:sdtPr>
              <w:sdtEndPr/>
              <w:sdtContent>
                <w:r w:rsidR="00FC11E6">
                  <w:rPr>
                    <w:rFonts w:ascii="Arial" w:hAnsi="Arial"/>
                    <w:b/>
                    <w:bCs/>
                    <w:noProof w:val="0"/>
                    <w:sz w:val="26"/>
                    <w:szCs w:val="26"/>
                    <w:rtl/>
                  </w:rPr>
                  <w:t>3</w:t>
                </w:r>
              </w:sdtContent>
            </w:sdt>
            <w:r w:rsidR="00FC11E6">
              <w:rPr>
                <w:rFonts w:ascii="Arial" w:hAnsi="Arial"/>
                <w:b/>
                <w:bCs/>
                <w:noProof w:val="0"/>
                <w:sz w:val="26"/>
                <w:szCs w:val="26"/>
                <w:rtl/>
              </w:rPr>
              <w:t xml:space="preserve">. </w:t>
            </w:r>
            <w:sdt>
              <w:sdtPr>
                <w:rPr>
                  <w:sz w:val="26"/>
                  <w:szCs w:val="26"/>
                  <w:rtl/>
                </w:rPr>
                <w:alias w:val="1486"/>
                <w:tag w:val="1486"/>
                <w:id w:val="-1697687181"/>
                <w:text w:multiLine="1"/>
              </w:sdtPr>
              <w:sdtEndPr/>
              <w:sdtContent>
                <w:r w:rsidR="00FC11E6">
                  <w:rPr>
                    <w:rFonts w:ascii="Arial" w:hAnsi="Arial"/>
                    <w:b/>
                    <w:bCs/>
                    <w:noProof w:val="0"/>
                    <w:sz w:val="26"/>
                    <w:szCs w:val="26"/>
                    <w:rtl/>
                  </w:rPr>
                  <w:t>חן אללוף</w:t>
                </w:r>
              </w:sdtContent>
            </w:sdt>
          </w:p>
          <w:p w:rsidR="00FC11E6" w:rsidRDefault="00A83C5F" w:rsidP="00FC11E6">
            <w:pPr>
              <w:rPr>
                <w:sz w:val="26"/>
                <w:szCs w:val="26"/>
                <w:rtl/>
              </w:rPr>
            </w:pPr>
            <w:sdt>
              <w:sdtPr>
                <w:rPr>
                  <w:sz w:val="26"/>
                  <w:szCs w:val="26"/>
                  <w:rtl/>
                </w:rPr>
                <w:alias w:val="1571"/>
                <w:tag w:val="1571"/>
                <w:id w:val="1200662383"/>
                <w:text w:multiLine="1"/>
              </w:sdtPr>
              <w:sdtEndPr/>
              <w:sdtContent>
                <w:r w:rsidR="00FC11E6">
                  <w:rPr>
                    <w:rFonts w:ascii="Arial" w:hAnsi="Arial"/>
                    <w:b/>
                    <w:bCs/>
                    <w:noProof w:val="0"/>
                    <w:sz w:val="26"/>
                    <w:szCs w:val="26"/>
                    <w:rtl/>
                  </w:rPr>
                  <w:t>4</w:t>
                </w:r>
              </w:sdtContent>
            </w:sdt>
            <w:r w:rsidR="00FC11E6">
              <w:rPr>
                <w:rFonts w:ascii="Arial" w:hAnsi="Arial"/>
                <w:b/>
                <w:bCs/>
                <w:noProof w:val="0"/>
                <w:sz w:val="26"/>
                <w:szCs w:val="26"/>
                <w:rtl/>
              </w:rPr>
              <w:t xml:space="preserve">. </w:t>
            </w:r>
            <w:sdt>
              <w:sdtPr>
                <w:rPr>
                  <w:sz w:val="26"/>
                  <w:szCs w:val="26"/>
                  <w:rtl/>
                </w:rPr>
                <w:alias w:val="1486"/>
                <w:tag w:val="1486"/>
                <w:id w:val="-841075784"/>
                <w:text w:multiLine="1"/>
              </w:sdtPr>
              <w:sdtEndPr/>
              <w:sdtContent>
                <w:r w:rsidR="00FC11E6">
                  <w:rPr>
                    <w:rFonts w:ascii="Arial" w:hAnsi="Arial"/>
                    <w:b/>
                    <w:bCs/>
                    <w:noProof w:val="0"/>
                    <w:sz w:val="26"/>
                    <w:szCs w:val="26"/>
                    <w:rtl/>
                  </w:rPr>
                  <w:t>אר. אל. טי השקעות ופיננסים בע"מ</w:t>
                </w:r>
              </w:sdtContent>
            </w:sdt>
          </w:p>
          <w:p w:rsidR="00FC11E6" w:rsidRDefault="00A83C5F" w:rsidP="00FC11E6">
            <w:pPr>
              <w:rPr>
                <w:sz w:val="26"/>
                <w:szCs w:val="26"/>
                <w:rtl/>
              </w:rPr>
            </w:pPr>
            <w:sdt>
              <w:sdtPr>
                <w:rPr>
                  <w:sz w:val="26"/>
                  <w:szCs w:val="26"/>
                  <w:rtl/>
                </w:rPr>
                <w:alias w:val="1571"/>
                <w:tag w:val="1571"/>
                <w:id w:val="1816835932"/>
                <w:text w:multiLine="1"/>
              </w:sdtPr>
              <w:sdtEndPr/>
              <w:sdtContent>
                <w:r w:rsidR="00FC11E6">
                  <w:rPr>
                    <w:rFonts w:ascii="Arial" w:hAnsi="Arial"/>
                    <w:b/>
                    <w:bCs/>
                    <w:noProof w:val="0"/>
                    <w:sz w:val="26"/>
                    <w:szCs w:val="26"/>
                    <w:rtl/>
                  </w:rPr>
                  <w:t>5</w:t>
                </w:r>
              </w:sdtContent>
            </w:sdt>
            <w:r w:rsidR="00FC11E6">
              <w:rPr>
                <w:rFonts w:ascii="Arial" w:hAnsi="Arial"/>
                <w:b/>
                <w:bCs/>
                <w:noProof w:val="0"/>
                <w:sz w:val="26"/>
                <w:szCs w:val="26"/>
                <w:rtl/>
              </w:rPr>
              <w:t xml:space="preserve">. </w:t>
            </w:r>
            <w:sdt>
              <w:sdtPr>
                <w:rPr>
                  <w:sz w:val="26"/>
                  <w:szCs w:val="26"/>
                  <w:rtl/>
                </w:rPr>
                <w:alias w:val="1486"/>
                <w:tag w:val="1486"/>
                <w:id w:val="40333524"/>
                <w:text w:multiLine="1"/>
              </w:sdtPr>
              <w:sdtEndPr/>
              <w:sdtContent>
                <w:r w:rsidR="00FC11E6">
                  <w:rPr>
                    <w:rFonts w:ascii="Arial" w:hAnsi="Arial"/>
                    <w:b/>
                    <w:bCs/>
                    <w:noProof w:val="0"/>
                    <w:sz w:val="26"/>
                    <w:szCs w:val="26"/>
                    <w:rtl/>
                  </w:rPr>
                  <w:t>רון גומא</w:t>
                </w:r>
              </w:sdtContent>
            </w:sdt>
          </w:p>
          <w:p w:rsidR="00FC11E6" w:rsidRDefault="00FC11E6" w:rsidP="00FC11E6">
            <w:pPr>
              <w:rPr>
                <w:sz w:val="26"/>
                <w:szCs w:val="26"/>
                <w:rtl/>
              </w:rPr>
            </w:pPr>
            <w:r>
              <w:rPr>
                <w:rFonts w:hint="cs"/>
                <w:sz w:val="26"/>
                <w:szCs w:val="26"/>
                <w:rtl/>
              </w:rPr>
              <w:t>ע"י ב"כ עו"ד ללוש</w:t>
            </w:r>
          </w:p>
          <w:p w:rsidR="00FC11E6" w:rsidRPr="00FA4EAF" w:rsidRDefault="00FC11E6">
            <w:pPr>
              <w:rPr>
                <w:b/>
                <w:bCs/>
                <w:noProof w:val="0"/>
                <w:sz w:val="26"/>
                <w:szCs w:val="26"/>
                <w:rtl/>
              </w:rPr>
            </w:pPr>
          </w:p>
        </w:tc>
      </w:tr>
      <w:tr w:rsidR="004C17EE" w:rsidRPr="00FA4EAF" w:rsidTr="00D620FD">
        <w:trPr>
          <w:jc w:val="center"/>
        </w:trPr>
        <w:tc>
          <w:tcPr>
            <w:tcW w:w="8820" w:type="dxa"/>
            <w:gridSpan w:val="4"/>
          </w:tcPr>
          <w:p w:rsidR="00116316" w:rsidRDefault="00116316">
            <w:pPr>
              <w:rPr>
                <w:rFonts w:ascii="Arial" w:hAnsi="Arial"/>
                <w:b/>
                <w:bCs/>
                <w:noProof w:val="0"/>
                <w:sz w:val="26"/>
                <w:szCs w:val="26"/>
                <w:rtl/>
              </w:rPr>
            </w:pPr>
          </w:p>
        </w:tc>
      </w:tr>
      <w:tr w:rsidR="00694556">
        <w:trPr>
          <w:jc w:val="center"/>
        </w:trPr>
        <w:tc>
          <w:tcPr>
            <w:tcW w:w="8820" w:type="dxa"/>
            <w:gridSpan w:val="4"/>
          </w:tcPr>
          <w:p w:rsidR="00694556" w:rsidRDefault="00180519">
            <w:pPr>
              <w:bidi w:val="0"/>
              <w:jc w:val="center"/>
              <w:rPr>
                <w:rFonts w:ascii="Arial" w:hAnsi="Arial"/>
                <w:b/>
                <w:bCs/>
                <w:noProof w:val="0"/>
                <w:sz w:val="28"/>
                <w:szCs w:val="28"/>
                <w:u w:val="single"/>
              </w:rPr>
            </w:pPr>
            <w:r>
              <w:rPr>
                <w:rFonts w:ascii="Arial" w:hAnsi="Arial" w:hint="cs"/>
                <w:b/>
                <w:bCs/>
                <w:noProof w:val="0"/>
                <w:sz w:val="28"/>
                <w:szCs w:val="28"/>
                <w:u w:val="single"/>
                <w:rtl/>
              </w:rPr>
              <w:t>החלטה</w:t>
            </w:r>
          </w:p>
        </w:tc>
      </w:tr>
    </w:tbl>
    <w:p w:rsidR="00694556" w:rsidRDefault="00694556">
      <w:pPr>
        <w:spacing w:line="360" w:lineRule="auto"/>
        <w:jc w:val="both"/>
        <w:rPr>
          <w:rFonts w:ascii="Arial" w:hAnsi="Arial"/>
          <w:noProof w:val="0"/>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bookmarkStart w:id="1" w:name="NGCSBookmark"/>
      <w:bookmarkEnd w:id="1"/>
      <w:r>
        <w:rPr>
          <w:rFonts w:ascii="David" w:hAnsi="David" w:cs="David"/>
          <w:sz w:val="24"/>
          <w:szCs w:val="24"/>
          <w:rtl/>
        </w:rPr>
        <w:t xml:space="preserve">לפני בקשת המבקשים לסעדים זמניים. לטענת המבקשים, המשיבים מעתיקים באופן מושלם את עיצובי מוצרי האופנה של המבקשים, וכן עושים שימוש במותג </w:t>
      </w:r>
      <w:r>
        <w:rPr>
          <w:rFonts w:ascii="David" w:hAnsi="David" w:cs="David"/>
          <w:sz w:val="24"/>
          <w:szCs w:val="24"/>
        </w:rPr>
        <w:t>ICON PARIS</w:t>
      </w:r>
      <w:r>
        <w:rPr>
          <w:rFonts w:ascii="David" w:hAnsi="David" w:cs="David"/>
          <w:sz w:val="24"/>
          <w:szCs w:val="24"/>
          <w:rtl/>
        </w:rPr>
        <w:t xml:space="preserve"> הדומה כדי הטעייה לסימן המסחר ולמותג של המבקשים </w:t>
      </w:r>
      <w:r>
        <w:rPr>
          <w:rFonts w:ascii="David" w:hAnsi="David" w:cs="David"/>
          <w:sz w:val="24"/>
          <w:szCs w:val="24"/>
        </w:rPr>
        <w:t>ICON MILANO</w:t>
      </w:r>
      <w:r>
        <w:rPr>
          <w:rFonts w:ascii="David" w:hAnsi="David" w:cs="David"/>
          <w:sz w:val="24"/>
          <w:szCs w:val="24"/>
          <w:rtl/>
        </w:rPr>
        <w:t>.</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t>בבקשה עתרו המבקשים כי בימ"ש יינתן את הסעדים הזמניים הבאים</w:t>
      </w:r>
      <w:r>
        <w:rPr>
          <w:rFonts w:ascii="David" w:hAnsi="David" w:cs="David"/>
          <w:sz w:val="24"/>
          <w:szCs w:val="24"/>
          <w:rtl/>
        </w:rPr>
        <w:t>:</w:t>
      </w:r>
    </w:p>
    <w:p w:rsidR="00FC11E6" w:rsidRDefault="00FC11E6" w:rsidP="00FC11E6">
      <w:pPr>
        <w:pStyle w:val="ad"/>
        <w:spacing w:after="0" w:line="360" w:lineRule="auto"/>
        <w:ind w:left="567"/>
        <w:jc w:val="both"/>
        <w:rPr>
          <w:rFonts w:ascii="David" w:hAnsi="David" w:cs="David"/>
          <w:sz w:val="24"/>
          <w:szCs w:val="24"/>
        </w:rPr>
      </w:pPr>
      <w:r>
        <w:rPr>
          <w:rFonts w:ascii="David" w:hAnsi="David" w:cs="David"/>
          <w:b/>
          <w:bCs/>
          <w:sz w:val="24"/>
          <w:szCs w:val="24"/>
          <w:rtl/>
        </w:rPr>
        <w:t>צו מניעה זמני</w:t>
      </w:r>
      <w:r>
        <w:rPr>
          <w:rFonts w:ascii="David" w:hAnsi="David" w:cs="David"/>
          <w:sz w:val="24"/>
          <w:szCs w:val="24"/>
          <w:rtl/>
        </w:rPr>
        <w:t xml:space="preserve"> המורה למשיבים שלא לעשות שימוש בסימן המסחר של המבקשים </w:t>
      </w:r>
      <w:r>
        <w:rPr>
          <w:rFonts w:ascii="David" w:hAnsi="David" w:cs="David"/>
          <w:sz w:val="24"/>
          <w:szCs w:val="24"/>
        </w:rPr>
        <w:t>ICON MILANO</w:t>
      </w:r>
      <w:r>
        <w:rPr>
          <w:rFonts w:ascii="David" w:hAnsi="David" w:cs="David"/>
          <w:sz w:val="24"/>
          <w:szCs w:val="24"/>
          <w:rtl/>
        </w:rPr>
        <w:t xml:space="preserve"> (כפי שנרשם) או בסימנים הדומים לו עד כדי הטעיה או בצירוף השם </w:t>
      </w:r>
      <w:r>
        <w:rPr>
          <w:rFonts w:ascii="David" w:hAnsi="David" w:cs="David"/>
          <w:sz w:val="24"/>
          <w:szCs w:val="24"/>
        </w:rPr>
        <w:t>ICON</w:t>
      </w:r>
      <w:r>
        <w:rPr>
          <w:rFonts w:ascii="David" w:hAnsi="David" w:cs="David"/>
          <w:sz w:val="24"/>
          <w:szCs w:val="24"/>
          <w:rtl/>
        </w:rPr>
        <w:t xml:space="preserve"> עם גרפיקה שיוצרת מצג </w:t>
      </w:r>
      <w:r>
        <w:rPr>
          <w:rFonts w:ascii="David" w:hAnsi="David" w:cs="David"/>
          <w:sz w:val="24"/>
          <w:szCs w:val="24"/>
        </w:rPr>
        <w:t>LOOK AND FEEL</w:t>
      </w:r>
      <w:r>
        <w:rPr>
          <w:rFonts w:ascii="David" w:hAnsi="David" w:cs="David"/>
          <w:sz w:val="24"/>
          <w:szCs w:val="24"/>
          <w:rtl/>
        </w:rPr>
        <w:t xml:space="preserve"> המחקה, דומה ומטעה של המותג ולמוצרים של המבקשים. </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b/>
          <w:bCs/>
          <w:sz w:val="24"/>
          <w:szCs w:val="24"/>
          <w:rtl/>
        </w:rPr>
        <w:t>צו מניעה זמני</w:t>
      </w:r>
      <w:r>
        <w:rPr>
          <w:rFonts w:ascii="David" w:hAnsi="David" w:cs="David"/>
          <w:sz w:val="24"/>
          <w:szCs w:val="24"/>
          <w:rtl/>
        </w:rPr>
        <w:t xml:space="preserve"> המורה למשיבים או מי מטעמם להימנע מלייצר ו/או לייבא ו/או לשווק ו/או למכור וכיוצ"ב בכל דרך אחרת ו/או לפרסם את המוצרים המפרים שהועתקו באופן זהה, או למצער דומה עד כדי הטעיה ע"י המשיבים או מי מהם.</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b/>
          <w:bCs/>
          <w:sz w:val="24"/>
          <w:szCs w:val="24"/>
          <w:rtl/>
        </w:rPr>
        <w:t>צו מניעה זמני</w:t>
      </w:r>
      <w:r>
        <w:rPr>
          <w:rFonts w:ascii="David" w:hAnsi="David" w:cs="David"/>
          <w:sz w:val="24"/>
          <w:szCs w:val="24"/>
          <w:rtl/>
        </w:rPr>
        <w:t xml:space="preserve"> שמורה למשיבים או מי מטעמם להימנע מלמסור, להעביר או להעלים וכיוצ"ב במוצרים המפרים ובכל המסמכים שקשורים לייצורם או לייבואם, הפצתם, שיווקם או מכירתם של המוצרים באופן שיסכל את מטרת הצווים המבוקשים או ייסכל את התביעה. </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b/>
          <w:bCs/>
          <w:sz w:val="24"/>
          <w:szCs w:val="24"/>
          <w:rtl/>
        </w:rPr>
        <w:t>צו עשה זמני</w:t>
      </w:r>
      <w:r>
        <w:rPr>
          <w:rFonts w:ascii="David" w:hAnsi="David" w:cs="David"/>
          <w:sz w:val="24"/>
          <w:szCs w:val="24"/>
          <w:rtl/>
        </w:rPr>
        <w:t xml:space="preserve"> למשוך את כל המוצרים המפרים. </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b/>
          <w:bCs/>
          <w:sz w:val="24"/>
          <w:szCs w:val="24"/>
          <w:rtl/>
        </w:rPr>
        <w:lastRenderedPageBreak/>
        <w:t>צו עשה זמני</w:t>
      </w:r>
      <w:r>
        <w:rPr>
          <w:rFonts w:ascii="David" w:hAnsi="David" w:cs="David"/>
          <w:sz w:val="24"/>
          <w:szCs w:val="24"/>
          <w:rtl/>
        </w:rPr>
        <w:t xml:space="preserve"> שמורה למשיבים למסור לבימ"ש ולמבקשים דו"ח מפורט של כל המוצרים המפרים שיוצרו, יובאו, שווקו על ידם. </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t>הצדדים לבקשה</w:t>
      </w:r>
      <w:r>
        <w:rPr>
          <w:rFonts w:ascii="David" w:hAnsi="David" w:cs="David"/>
          <w:sz w:val="24"/>
          <w:szCs w:val="24"/>
          <w:rtl/>
        </w:rPr>
        <w:t>:</w:t>
      </w:r>
    </w:p>
    <w:p w:rsidR="00FC11E6" w:rsidRDefault="00FC11E6" w:rsidP="00FC11E6">
      <w:pPr>
        <w:pStyle w:val="ad"/>
        <w:spacing w:after="0" w:line="360" w:lineRule="auto"/>
        <w:ind w:left="567"/>
        <w:jc w:val="both"/>
        <w:rPr>
          <w:rFonts w:ascii="David" w:hAnsi="David" w:cs="David"/>
          <w:sz w:val="24"/>
          <w:szCs w:val="24"/>
        </w:rPr>
      </w:pPr>
      <w:r>
        <w:rPr>
          <w:rFonts w:ascii="David" w:hAnsi="David" w:cs="David"/>
          <w:b/>
          <w:bCs/>
          <w:sz w:val="24"/>
          <w:szCs w:val="24"/>
          <w:u w:val="single"/>
          <w:rtl/>
        </w:rPr>
        <w:t>המבקשים</w:t>
      </w:r>
      <w:r>
        <w:rPr>
          <w:rFonts w:ascii="David" w:hAnsi="David" w:cs="David"/>
          <w:sz w:val="24"/>
          <w:szCs w:val="24"/>
          <w:rtl/>
        </w:rPr>
        <w:t xml:space="preserve">: </w:t>
      </w:r>
      <w:r>
        <w:rPr>
          <w:rFonts w:ascii="David" w:hAnsi="David" w:cs="David"/>
          <w:b/>
          <w:bCs/>
          <w:sz w:val="24"/>
          <w:szCs w:val="24"/>
          <w:rtl/>
        </w:rPr>
        <w:t>המבקש 1</w:t>
      </w:r>
      <w:r>
        <w:rPr>
          <w:rFonts w:ascii="David" w:hAnsi="David" w:cs="David"/>
          <w:sz w:val="24"/>
          <w:szCs w:val="24"/>
          <w:rtl/>
        </w:rPr>
        <w:t xml:space="preserve"> (להלן: "</w:t>
      </w:r>
      <w:r>
        <w:rPr>
          <w:rFonts w:ascii="David" w:hAnsi="David" w:cs="David"/>
          <w:b/>
          <w:bCs/>
          <w:sz w:val="24"/>
          <w:szCs w:val="24"/>
          <w:rtl/>
        </w:rPr>
        <w:t>המבקש</w:t>
      </w:r>
      <w:r>
        <w:rPr>
          <w:rFonts w:ascii="David" w:hAnsi="David" w:cs="David"/>
          <w:sz w:val="24"/>
          <w:szCs w:val="24"/>
          <w:rtl/>
        </w:rPr>
        <w:t xml:space="preserve">") בעל המניות והמנכ"ל של </w:t>
      </w:r>
      <w:r>
        <w:rPr>
          <w:rFonts w:ascii="David" w:hAnsi="David" w:cs="David"/>
          <w:b/>
          <w:bCs/>
          <w:sz w:val="24"/>
          <w:szCs w:val="24"/>
          <w:rtl/>
        </w:rPr>
        <w:t>המבקשת 2</w:t>
      </w:r>
      <w:r>
        <w:rPr>
          <w:rFonts w:ascii="David" w:hAnsi="David" w:cs="David"/>
          <w:sz w:val="24"/>
          <w:szCs w:val="24"/>
          <w:rtl/>
        </w:rPr>
        <w:t xml:space="preserve"> (להלן: "</w:t>
      </w:r>
      <w:r>
        <w:rPr>
          <w:rFonts w:ascii="David" w:hAnsi="David" w:cs="David"/>
          <w:b/>
          <w:bCs/>
          <w:sz w:val="24"/>
          <w:szCs w:val="24"/>
          <w:rtl/>
        </w:rPr>
        <w:t>המבקשת</w:t>
      </w:r>
      <w:r>
        <w:rPr>
          <w:rFonts w:ascii="David" w:hAnsi="David" w:cs="David"/>
          <w:sz w:val="24"/>
          <w:szCs w:val="24"/>
          <w:rtl/>
        </w:rPr>
        <w:t>") העוסקת בייבוא ובשיווק של מוצרי ומותגי אופנה יוקרתיים (כך בלשון הבקשה בסעיף 6). המבקש בעל מותגים שונים ופעיל במסגרת המבקשת משנת 2023. בעל מניות נוסף במבקשת הוא מר אלמוג מירישבילי המשמש כמעצב ראשי ומנהל ייצור (כך בלשון סעיף 6 לבקשה) (להלן: "</w:t>
      </w:r>
      <w:r>
        <w:rPr>
          <w:rFonts w:ascii="David" w:hAnsi="David" w:cs="David"/>
          <w:b/>
          <w:bCs/>
          <w:sz w:val="24"/>
          <w:szCs w:val="24"/>
          <w:rtl/>
        </w:rPr>
        <w:t>אלמוג</w:t>
      </w:r>
      <w:r>
        <w:rPr>
          <w:rFonts w:ascii="David" w:hAnsi="David" w:cs="David"/>
          <w:sz w:val="24"/>
          <w:szCs w:val="24"/>
          <w:rtl/>
        </w:rPr>
        <w:t xml:space="preserve">"). </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b/>
          <w:bCs/>
          <w:sz w:val="24"/>
          <w:szCs w:val="24"/>
          <w:u w:val="single"/>
          <w:rtl/>
        </w:rPr>
        <w:t>המשיבים</w:t>
      </w:r>
      <w:r>
        <w:rPr>
          <w:rFonts w:ascii="David" w:hAnsi="David" w:cs="David"/>
          <w:sz w:val="24"/>
          <w:szCs w:val="24"/>
          <w:rtl/>
        </w:rPr>
        <w:t xml:space="preserve">: </w:t>
      </w:r>
      <w:r>
        <w:rPr>
          <w:rFonts w:ascii="David" w:hAnsi="David" w:cs="David"/>
          <w:b/>
          <w:bCs/>
          <w:sz w:val="24"/>
          <w:szCs w:val="24"/>
          <w:rtl/>
        </w:rPr>
        <w:t>המשיבה 1</w:t>
      </w:r>
      <w:r>
        <w:rPr>
          <w:rFonts w:ascii="David" w:hAnsi="David" w:cs="David"/>
          <w:sz w:val="24"/>
          <w:szCs w:val="24"/>
          <w:rtl/>
        </w:rPr>
        <w:t xml:space="preserve"> (להלן: "</w:t>
      </w:r>
      <w:r>
        <w:rPr>
          <w:rFonts w:ascii="David" w:hAnsi="David" w:cs="David"/>
          <w:b/>
          <w:bCs/>
          <w:sz w:val="24"/>
          <w:szCs w:val="24"/>
          <w:rtl/>
        </w:rPr>
        <w:t>המשיבה</w:t>
      </w:r>
      <w:r>
        <w:rPr>
          <w:rFonts w:ascii="David" w:hAnsi="David" w:cs="David"/>
          <w:sz w:val="24"/>
          <w:szCs w:val="24"/>
          <w:rtl/>
        </w:rPr>
        <w:t xml:space="preserve">") הינה חברה העוסקת בייבוא ושיווק דברי הלבשה והנעלה בישראל. </w:t>
      </w:r>
      <w:r>
        <w:rPr>
          <w:rFonts w:ascii="David" w:hAnsi="David" w:cs="David"/>
          <w:b/>
          <w:bCs/>
          <w:sz w:val="24"/>
          <w:szCs w:val="24"/>
          <w:rtl/>
        </w:rPr>
        <w:t xml:space="preserve">המשיב 2 </w:t>
      </w:r>
      <w:r>
        <w:rPr>
          <w:rFonts w:ascii="David" w:hAnsi="David" w:cs="David"/>
          <w:sz w:val="24"/>
          <w:szCs w:val="24"/>
          <w:rtl/>
        </w:rPr>
        <w:t>(להלן: "</w:t>
      </w:r>
      <w:r>
        <w:rPr>
          <w:rFonts w:ascii="David" w:hAnsi="David" w:cs="David"/>
          <w:b/>
          <w:bCs/>
          <w:sz w:val="24"/>
          <w:szCs w:val="24"/>
          <w:rtl/>
        </w:rPr>
        <w:t>המשיב</w:t>
      </w:r>
      <w:r>
        <w:rPr>
          <w:rFonts w:ascii="David" w:hAnsi="David" w:cs="David"/>
          <w:sz w:val="24"/>
          <w:szCs w:val="24"/>
          <w:rtl/>
        </w:rPr>
        <w:t xml:space="preserve">") הוא מנכ"ל, דירקטור ובעל מניות במשיבה. </w:t>
      </w:r>
      <w:r>
        <w:rPr>
          <w:rFonts w:ascii="David" w:hAnsi="David" w:cs="David"/>
          <w:b/>
          <w:bCs/>
          <w:sz w:val="24"/>
          <w:szCs w:val="24"/>
          <w:rtl/>
        </w:rPr>
        <w:t xml:space="preserve">המשיב 3 </w:t>
      </w:r>
      <w:r>
        <w:rPr>
          <w:rFonts w:ascii="David" w:hAnsi="David" w:cs="David"/>
          <w:sz w:val="24"/>
          <w:szCs w:val="24"/>
          <w:rtl/>
        </w:rPr>
        <w:t xml:space="preserve">הוא בעל מניות נוסף במשיבה ואחראי לטענת המבקשים על עיצוב וייצור המוצרים המפרים. </w:t>
      </w:r>
      <w:r>
        <w:rPr>
          <w:rFonts w:ascii="David" w:hAnsi="David" w:cs="David"/>
          <w:b/>
          <w:bCs/>
          <w:sz w:val="24"/>
          <w:szCs w:val="24"/>
          <w:rtl/>
        </w:rPr>
        <w:t xml:space="preserve">המשיבה 4 </w:t>
      </w:r>
      <w:r>
        <w:rPr>
          <w:rFonts w:ascii="David" w:hAnsi="David" w:cs="David"/>
          <w:sz w:val="24"/>
          <w:szCs w:val="24"/>
          <w:rtl/>
        </w:rPr>
        <w:t xml:space="preserve">היא חברה נוספת העוסקת בייבוא ושיווק דברי הלבשה והנעלה. בבקשה צויין לגביה כך: "ייתכן ומדובר בחברת קש מאחוריה מסתתרים המשיבים 1-3 עת הם רושמים סימני מסחר מפרים". </w:t>
      </w:r>
      <w:r>
        <w:rPr>
          <w:rFonts w:ascii="David" w:hAnsi="David" w:cs="David"/>
          <w:b/>
          <w:bCs/>
          <w:sz w:val="24"/>
          <w:szCs w:val="24"/>
          <w:rtl/>
        </w:rPr>
        <w:t>המשיב 5</w:t>
      </w:r>
      <w:r>
        <w:rPr>
          <w:rFonts w:ascii="David" w:hAnsi="David" w:cs="David"/>
          <w:sz w:val="24"/>
          <w:szCs w:val="24"/>
          <w:rtl/>
        </w:rPr>
        <w:t xml:space="preserve"> הוא קרוב משפחתו של המשיב ומנכ"ל, דירקטור ובעל מניות במשיבה 4 ואחראי לטענת המבקשים לעוולות שביצעה המשיבה 4 כלפי המבקשים.</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ביום 6.10.24 הוגשה הבקשה לסעדים זמניים יחד עם הגשת התביעה. באותו היום ניתנה החלטה כי אין מקום להעתר לבקשה במעמד צד אחד והיא הועברה לתגובה. ביום 8.10.24 נדחתה בקשת המבקשים לעיון חוזר בהחלטה.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לאחר הגשת תגובת המשיבים, נקבע מועד דיון לבקשה.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ביום 11.11.24 התקיים דיון ארוך ובו השלימו ב"כ הצדדים את טיעוניהם. בתום הדיון אפשרתי לצדדים להגיש את קטלוג החורף של העונה הנוכחית של כל צד, שיתווסף לשאר הטענות שנשמעו בדיון.</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הצדדים הגישו את הקטלוג וכן השוואות שעשו. בהתאם לכך ניתנת ההחלטה כעת. </w:t>
      </w:r>
    </w:p>
    <w:p w:rsidR="00FC11E6" w:rsidRDefault="00FC11E6" w:rsidP="00FC11E6">
      <w:pPr>
        <w:pStyle w:val="ad"/>
        <w:rPr>
          <w:rFonts w:ascii="David" w:hAnsi="David" w:cs="David"/>
          <w:sz w:val="24"/>
          <w:szCs w:val="24"/>
        </w:rPr>
      </w:pPr>
    </w:p>
    <w:p w:rsidR="00FC11E6" w:rsidRDefault="00FC11E6" w:rsidP="00FC11E6">
      <w:pPr>
        <w:pStyle w:val="ad"/>
        <w:spacing w:after="0" w:line="360" w:lineRule="auto"/>
        <w:ind w:left="0"/>
        <w:jc w:val="both"/>
        <w:rPr>
          <w:rFonts w:ascii="David" w:hAnsi="David" w:cs="David"/>
          <w:b/>
          <w:bCs/>
          <w:sz w:val="24"/>
          <w:szCs w:val="24"/>
          <w:u w:val="single"/>
          <w:rtl/>
        </w:rPr>
      </w:pPr>
    </w:p>
    <w:p w:rsidR="00FC11E6" w:rsidRDefault="00FC11E6" w:rsidP="00FC11E6">
      <w:pPr>
        <w:pStyle w:val="ad"/>
        <w:spacing w:after="0" w:line="360" w:lineRule="auto"/>
        <w:ind w:left="0"/>
        <w:jc w:val="both"/>
        <w:rPr>
          <w:rFonts w:ascii="David" w:hAnsi="David" w:cs="David"/>
          <w:b/>
          <w:bCs/>
          <w:sz w:val="24"/>
          <w:szCs w:val="24"/>
          <w:u w:val="single"/>
          <w:rtl/>
        </w:rPr>
      </w:pPr>
    </w:p>
    <w:p w:rsidR="00FC11E6" w:rsidRDefault="00FC11E6" w:rsidP="00FC11E6">
      <w:pPr>
        <w:pStyle w:val="ad"/>
        <w:spacing w:after="0" w:line="360" w:lineRule="auto"/>
        <w:ind w:left="0"/>
        <w:jc w:val="both"/>
        <w:rPr>
          <w:rFonts w:ascii="David" w:hAnsi="David" w:cs="David"/>
          <w:b/>
          <w:bCs/>
          <w:sz w:val="24"/>
          <w:szCs w:val="24"/>
          <w:u w:val="single"/>
          <w:rtl/>
        </w:rPr>
      </w:pPr>
      <w:r>
        <w:rPr>
          <w:rFonts w:ascii="David" w:hAnsi="David" w:cs="David"/>
          <w:b/>
          <w:bCs/>
          <w:sz w:val="24"/>
          <w:szCs w:val="24"/>
          <w:u w:val="single"/>
          <w:rtl/>
        </w:rPr>
        <w:lastRenderedPageBreak/>
        <w:t>תמצית טענות הצדדים</w:t>
      </w:r>
    </w:p>
    <w:p w:rsidR="00FC11E6" w:rsidRDefault="00FC11E6" w:rsidP="00FC11E6">
      <w:pPr>
        <w:pStyle w:val="ad"/>
        <w:spacing w:line="256" w:lineRule="auto"/>
        <w:ind w:left="0"/>
        <w:rPr>
          <w:rFonts w:ascii="David" w:hAnsi="David" w:cs="David"/>
          <w:b/>
          <w:bCs/>
          <w:sz w:val="24"/>
          <w:szCs w:val="24"/>
          <w:u w:val="single"/>
          <w:rtl/>
        </w:rPr>
      </w:pPr>
    </w:p>
    <w:p w:rsidR="00FC11E6" w:rsidRDefault="00FC11E6" w:rsidP="00FC11E6">
      <w:pPr>
        <w:pStyle w:val="ad"/>
        <w:spacing w:line="256" w:lineRule="auto"/>
        <w:ind w:left="0"/>
        <w:rPr>
          <w:rFonts w:ascii="David" w:hAnsi="David" w:cs="David"/>
          <w:b/>
          <w:bCs/>
          <w:sz w:val="24"/>
          <w:szCs w:val="24"/>
          <w:u w:val="single"/>
          <w:rtl/>
        </w:rPr>
      </w:pPr>
      <w:r>
        <w:rPr>
          <w:rFonts w:ascii="David" w:hAnsi="David" w:cs="David"/>
          <w:b/>
          <w:bCs/>
          <w:sz w:val="24"/>
          <w:szCs w:val="24"/>
          <w:u w:val="single"/>
          <w:rtl/>
        </w:rPr>
        <w:t>תמצית טענות המבקשים</w:t>
      </w:r>
    </w:p>
    <w:p w:rsidR="00FC11E6" w:rsidRDefault="00FC11E6" w:rsidP="00FC11E6">
      <w:pPr>
        <w:pStyle w:val="ad"/>
        <w:spacing w:line="256" w:lineRule="auto"/>
        <w:ind w:left="0"/>
        <w:rPr>
          <w:rFonts w:ascii="David" w:hAnsi="David" w:cs="David"/>
          <w:b/>
          <w:bCs/>
          <w:sz w:val="24"/>
          <w:szCs w:val="24"/>
          <w:u w:val="single"/>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b/>
          <w:bCs/>
          <w:sz w:val="24"/>
          <w:szCs w:val="24"/>
          <w:rtl/>
        </w:rPr>
        <w:t>לטענת המבקשים</w:t>
      </w:r>
      <w:r>
        <w:rPr>
          <w:rFonts w:ascii="David" w:hAnsi="David" w:cs="David"/>
          <w:sz w:val="24"/>
          <w:szCs w:val="24"/>
          <w:rtl/>
        </w:rPr>
        <w:t>, הם בעלי מותג מקורי</w:t>
      </w:r>
      <w:r>
        <w:rPr>
          <w:rFonts w:ascii="David" w:hAnsi="David" w:cs="David"/>
          <w:sz w:val="24"/>
          <w:szCs w:val="24"/>
        </w:rPr>
        <w:t xml:space="preserve"> ICON MILANO </w:t>
      </w:r>
      <w:r>
        <w:rPr>
          <w:rFonts w:ascii="David" w:hAnsi="David" w:cs="David"/>
          <w:sz w:val="24"/>
          <w:szCs w:val="24"/>
          <w:rtl/>
        </w:rPr>
        <w:t xml:space="preserve"> שלגביו גם נרשם סימן מסחר לדברי הלבשה. לטענתם מדובר במותג אופנתי יוקרתי שפותח על ידי המבקשים ועושה חיל בישראל עם מגוון בגדי הלבשה פרי עיצובם של המבקשים (סעיף 12 לבקשה). לטענת המבקשים נכון לשנת 2024 הכנסותיהם מהמותג מגיעות למיליוני שקלים. לטענת המבקשים סימן המסחר שלהם מבדל אותם מכל המתחרים.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b/>
          <w:bCs/>
          <w:sz w:val="24"/>
          <w:szCs w:val="24"/>
          <w:rtl/>
        </w:rPr>
        <w:t xml:space="preserve">לטענת המבקשים, </w:t>
      </w:r>
      <w:r>
        <w:rPr>
          <w:rFonts w:ascii="David" w:hAnsi="David" w:cs="David"/>
          <w:sz w:val="24"/>
          <w:szCs w:val="24"/>
          <w:rtl/>
        </w:rPr>
        <w:t xml:space="preserve"> קיימת להם עילה תביעה בשל הפרת עיצוב בהתאם לחוק העיצובים, תשע"ז-2017; גניבת עין; הפרת זכויות יוצרים; גזל מוניטין; מניעת הכנסות בניגוד לחוק עשיית עושר ולא במשפט. על כן הגישו תביעה ובה עתרו לסעד כספי לפיצוי בסכום של 2.6 מיליון ₪, וכן צווי מניעה קבועים וצו למתן חשבונות.</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b/>
          <w:bCs/>
          <w:sz w:val="24"/>
          <w:szCs w:val="24"/>
          <w:rtl/>
        </w:rPr>
        <w:t xml:space="preserve">לטענת המבקשים, </w:t>
      </w:r>
      <w:r>
        <w:rPr>
          <w:rFonts w:ascii="David" w:hAnsi="David" w:cs="David"/>
          <w:sz w:val="24"/>
          <w:szCs w:val="24"/>
          <w:rtl/>
        </w:rPr>
        <w:t xml:space="preserve">המשיבים בחרו במודע ובזדון להתחקות אחר קו האופנה המותג וסימן המסחר שלהם ובחרו שם מתחרה </w:t>
      </w:r>
      <w:r>
        <w:rPr>
          <w:rFonts w:ascii="David" w:hAnsi="David" w:cs="David"/>
          <w:sz w:val="24"/>
          <w:szCs w:val="24"/>
        </w:rPr>
        <w:t>ICON PARIS</w:t>
      </w:r>
      <w:r>
        <w:rPr>
          <w:rFonts w:ascii="David" w:hAnsi="David" w:cs="David"/>
          <w:sz w:val="24"/>
          <w:szCs w:val="24"/>
          <w:rtl/>
        </w:rPr>
        <w:t xml:space="preserve"> והעתיקו את קו המוצרים שלהם, ומציעים אותו במכירה במחירים נמוכים מתוך מטרה להוציא אותם מהשוק. לטענת המבקשים, על מוצרי המשיבים מופיע בגדול הרישום </w:t>
      </w:r>
      <w:r>
        <w:rPr>
          <w:rFonts w:ascii="David" w:hAnsi="David" w:cs="David"/>
          <w:sz w:val="24"/>
          <w:szCs w:val="24"/>
        </w:rPr>
        <w:t>ICON</w:t>
      </w:r>
      <w:r>
        <w:rPr>
          <w:rFonts w:ascii="David" w:hAnsi="David" w:cs="David"/>
          <w:sz w:val="24"/>
          <w:szCs w:val="24"/>
          <w:rtl/>
        </w:rPr>
        <w:t xml:space="preserve"> ולעיתים סימנים נוספים ולעיתים המילה </w:t>
      </w:r>
      <w:r>
        <w:rPr>
          <w:rFonts w:ascii="David" w:hAnsi="David"/>
        </w:rPr>
        <w:t>PARIS</w:t>
      </w:r>
      <w:r>
        <w:rPr>
          <w:rFonts w:ascii="David" w:hAnsi="David"/>
          <w:rtl/>
        </w:rPr>
        <w:t xml:space="preserve"> </w:t>
      </w:r>
      <w:r>
        <w:rPr>
          <w:rFonts w:ascii="David" w:hAnsi="David" w:cs="David"/>
          <w:sz w:val="24"/>
          <w:szCs w:val="24"/>
          <w:rtl/>
        </w:rPr>
        <w:t xml:space="preserve">באופן הדומה עד כדי הטעיה בכוונה שהציבור יטענה ויחשוב שמדובר באותם מוצרים.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b/>
          <w:bCs/>
          <w:sz w:val="24"/>
          <w:szCs w:val="24"/>
          <w:rtl/>
        </w:rPr>
        <w:t>לטענת המבקשים</w:t>
      </w:r>
      <w:r>
        <w:rPr>
          <w:rFonts w:ascii="David" w:hAnsi="David" w:cs="David"/>
          <w:sz w:val="24"/>
          <w:szCs w:val="24"/>
          <w:rtl/>
        </w:rPr>
        <w:t xml:space="preserve">, כבר בחודש יולי 2024 בשל דין ודברים בין המבקש למשיב התברר להם כי בכוונת המשיבים לנקוט בכל הצעדים על מנת לפגוע בהם ולחסל את עסקיהם (צורפו תמלולים שידונו בהמשך). לטענת המבקשים בחנויות בהם נמכרים המוצרים של </w:t>
      </w:r>
      <w:r>
        <w:rPr>
          <w:rFonts w:ascii="David" w:hAnsi="David" w:cs="David"/>
          <w:sz w:val="24"/>
          <w:szCs w:val="24"/>
        </w:rPr>
        <w:t xml:space="preserve"> ICON MILANO </w:t>
      </w:r>
      <w:r>
        <w:rPr>
          <w:rFonts w:ascii="David" w:hAnsi="David" w:cs="David"/>
          <w:sz w:val="24"/>
          <w:szCs w:val="24"/>
          <w:rtl/>
        </w:rPr>
        <w:t xml:space="preserve">  נמכרים גם מוצרי המשיבים תחת </w:t>
      </w:r>
      <w:r>
        <w:rPr>
          <w:rFonts w:ascii="David" w:hAnsi="David" w:cs="David"/>
          <w:sz w:val="24"/>
          <w:szCs w:val="24"/>
        </w:rPr>
        <w:t>ICON PARIS</w:t>
      </w:r>
      <w:r>
        <w:rPr>
          <w:rFonts w:ascii="David" w:hAnsi="David" w:cs="David"/>
          <w:sz w:val="24"/>
          <w:szCs w:val="24"/>
          <w:rtl/>
        </w:rPr>
        <w:t xml:space="preserve">.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b/>
          <w:bCs/>
          <w:sz w:val="24"/>
          <w:szCs w:val="24"/>
          <w:rtl/>
        </w:rPr>
        <w:t>לטענת המבקשים</w:t>
      </w:r>
      <w:r>
        <w:rPr>
          <w:rFonts w:ascii="David" w:hAnsi="David" w:cs="David"/>
          <w:sz w:val="24"/>
          <w:szCs w:val="24"/>
          <w:rtl/>
        </w:rPr>
        <w:t xml:space="preserve">, משיחות של המבקש ושל אלמוג  עם לקוחות ועם המשיבים עלה שהסיבה לרצון המשיבים לפגוע בפעילותם העסקית נובעת מעניין אישי מול אלמוג (סעיף 36 לבקשה), שלשיטתם היה אצלם בן בית בעסק אחר ועזב ופתח מותג מתחרה. </w:t>
      </w:r>
    </w:p>
    <w:p w:rsidR="00FC11E6" w:rsidRDefault="00FC11E6" w:rsidP="00FC11E6">
      <w:pPr>
        <w:pStyle w:val="ad"/>
        <w:spacing w:after="0" w:line="360" w:lineRule="auto"/>
        <w:ind w:left="567"/>
        <w:jc w:val="both"/>
        <w:rPr>
          <w:rFonts w:ascii="David" w:hAnsi="David" w:cs="David"/>
          <w:b/>
          <w:bCs/>
          <w:sz w:val="24"/>
          <w:szCs w:val="24"/>
        </w:rPr>
      </w:pPr>
    </w:p>
    <w:p w:rsidR="00FC11E6" w:rsidRDefault="00FC11E6" w:rsidP="00FC11E6">
      <w:pPr>
        <w:pStyle w:val="ad"/>
        <w:numPr>
          <w:ilvl w:val="0"/>
          <w:numId w:val="2"/>
        </w:numPr>
        <w:spacing w:after="0" w:line="360" w:lineRule="auto"/>
        <w:ind w:left="567" w:hanging="567"/>
        <w:jc w:val="both"/>
        <w:rPr>
          <w:rFonts w:ascii="David" w:hAnsi="David" w:cs="David"/>
          <w:b/>
          <w:bCs/>
          <w:sz w:val="24"/>
          <w:szCs w:val="24"/>
        </w:rPr>
      </w:pPr>
      <w:r>
        <w:rPr>
          <w:rFonts w:ascii="David" w:hAnsi="David" w:cs="David"/>
          <w:b/>
          <w:bCs/>
          <w:sz w:val="24"/>
          <w:szCs w:val="24"/>
          <w:rtl/>
        </w:rPr>
        <w:t xml:space="preserve">לטענת המבקשים,  </w:t>
      </w:r>
      <w:r>
        <w:rPr>
          <w:rFonts w:ascii="David" w:hAnsi="David" w:cs="David"/>
          <w:sz w:val="24"/>
          <w:szCs w:val="24"/>
          <w:rtl/>
        </w:rPr>
        <w:t xml:space="preserve">בגדי המשיבים מהווים חיקוי בוטה של מותג המבקשים, עיצוביהם ופרסומיהם מתוך מטרה להטעות ולעשות שימוש במותג המבקשים. ההטעיה (סעיף 37) נובעת לטענת המבקשים מהדמיון בין מוצרי החיקוי למוצרים המקוריים כולל בין היתר </w:t>
      </w:r>
      <w:r>
        <w:rPr>
          <w:rFonts w:ascii="David" w:hAnsi="David" w:cs="David"/>
          <w:sz w:val="24"/>
          <w:szCs w:val="24"/>
          <w:rtl/>
        </w:rPr>
        <w:lastRenderedPageBreak/>
        <w:t xml:space="preserve">שימוש בהרכב צבעוני זהה ובאותו האופן/ העתקת הלוגו כולל המילה </w:t>
      </w:r>
      <w:r>
        <w:rPr>
          <w:rFonts w:ascii="David" w:hAnsi="David" w:cs="David"/>
          <w:sz w:val="24"/>
          <w:szCs w:val="24"/>
        </w:rPr>
        <w:t>ICON</w:t>
      </w:r>
      <w:r>
        <w:rPr>
          <w:rFonts w:ascii="David" w:hAnsi="David" w:cs="David"/>
          <w:sz w:val="24"/>
          <w:szCs w:val="24"/>
          <w:rtl/>
        </w:rPr>
        <w:t xml:space="preserve"> באותיות גדולות באנגלית לצד המילה </w:t>
      </w:r>
      <w:r>
        <w:rPr>
          <w:rFonts w:ascii="David" w:hAnsi="David" w:cs="David"/>
          <w:sz w:val="24"/>
          <w:szCs w:val="24"/>
        </w:rPr>
        <w:t>PARIS</w:t>
      </w:r>
      <w:r>
        <w:rPr>
          <w:rFonts w:ascii="David" w:hAnsi="David" w:cs="David"/>
          <w:sz w:val="24"/>
          <w:szCs w:val="24"/>
          <w:rtl/>
        </w:rPr>
        <w:t xml:space="preserve"> באותיות קטנות יותר לצד או מתחת לשם המותג; שימוש בגופן לטיני דומה ויצירת גרפיקה ועיצוב שיוצרים יחדיו תחושה ורושם חזותי דומה, יצירת שפה גרפית הפונה לקהל היעד בטון ייחודי. </w:t>
      </w:r>
    </w:p>
    <w:p w:rsidR="00FC11E6" w:rsidRDefault="00FC11E6" w:rsidP="00FC11E6">
      <w:pPr>
        <w:pStyle w:val="ad"/>
        <w:rPr>
          <w:rFonts w:ascii="David" w:hAnsi="David" w:cs="David"/>
          <w:b/>
          <w:bCs/>
          <w:sz w:val="24"/>
          <w:szCs w:val="24"/>
        </w:rPr>
      </w:pPr>
    </w:p>
    <w:p w:rsidR="00FC11E6" w:rsidRDefault="00FC11E6" w:rsidP="00FC11E6">
      <w:pPr>
        <w:pStyle w:val="ad"/>
        <w:spacing w:after="0" w:line="360" w:lineRule="auto"/>
        <w:ind w:left="0"/>
        <w:jc w:val="both"/>
        <w:rPr>
          <w:rFonts w:ascii="David" w:hAnsi="David" w:cs="David"/>
          <w:b/>
          <w:bCs/>
          <w:sz w:val="24"/>
          <w:szCs w:val="24"/>
          <w:u w:val="single"/>
          <w:rtl/>
        </w:rPr>
      </w:pPr>
      <w:r>
        <w:rPr>
          <w:rFonts w:ascii="David" w:hAnsi="David" w:cs="David"/>
          <w:b/>
          <w:bCs/>
          <w:sz w:val="24"/>
          <w:szCs w:val="24"/>
          <w:u w:val="single"/>
          <w:rtl/>
        </w:rPr>
        <w:t xml:space="preserve">תמצית טענות המשיבים </w:t>
      </w:r>
    </w:p>
    <w:p w:rsidR="00FC11E6" w:rsidRDefault="00FC11E6" w:rsidP="00FC11E6">
      <w:pPr>
        <w:pStyle w:val="ad"/>
        <w:spacing w:after="0" w:line="360" w:lineRule="auto"/>
        <w:ind w:left="0"/>
        <w:jc w:val="both"/>
        <w:rPr>
          <w:rFonts w:ascii="David" w:hAnsi="David" w:cs="David"/>
          <w:b/>
          <w:bCs/>
          <w:sz w:val="24"/>
          <w:szCs w:val="24"/>
          <w:u w:val="single"/>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b/>
          <w:bCs/>
          <w:sz w:val="24"/>
          <w:szCs w:val="24"/>
          <w:rtl/>
        </w:rPr>
        <w:t>לטענת המשיבים,</w:t>
      </w:r>
      <w:r>
        <w:rPr>
          <w:rFonts w:ascii="David" w:hAnsi="David" w:cs="David"/>
          <w:sz w:val="24"/>
          <w:szCs w:val="24"/>
          <w:rtl/>
        </w:rPr>
        <w:t xml:space="preserve"> יש לדחות את הבקשה. לטענתם, למבקשים אין בלעדיות במילה </w:t>
      </w:r>
      <w:r>
        <w:rPr>
          <w:rFonts w:ascii="David" w:hAnsi="David" w:cs="David"/>
          <w:sz w:val="24"/>
          <w:szCs w:val="24"/>
        </w:rPr>
        <w:t>ICON</w:t>
      </w:r>
      <w:r>
        <w:rPr>
          <w:rFonts w:ascii="David" w:hAnsi="David" w:cs="David"/>
          <w:sz w:val="24"/>
          <w:szCs w:val="24"/>
          <w:rtl/>
        </w:rPr>
        <w:t xml:space="preserve"> שהינה מילה גנרית שנהוגה בתחום ונמצאת בשימוש של חברות רבות בעולם ובישראל למעלה מעשור. לטענת המשיבים, אין מדובר בעיצובים מקוריים של המבקשים אלא עיצובים שהועתקו ממספר חברות אשר מזוהות עם המילה </w:t>
      </w:r>
      <w:r>
        <w:rPr>
          <w:rFonts w:ascii="David" w:hAnsi="David" w:cs="David"/>
          <w:sz w:val="24"/>
          <w:szCs w:val="24"/>
        </w:rPr>
        <w:t>ICON</w:t>
      </w:r>
      <w:r>
        <w:rPr>
          <w:rFonts w:ascii="David" w:hAnsi="David" w:cs="David"/>
          <w:sz w:val="24"/>
          <w:szCs w:val="24"/>
          <w:rtl/>
        </w:rPr>
        <w:t xml:space="preserve"> ובכל מקרה לא מדובר בדגמים בעיצוב מקורי של המבקשים. כמו כן לטענתם, המבקש לא "המציא" ולא "יצר" כלום (סעיף 10 לתשובה). השם של המבקשת מתבסס על מותג אחר </w:t>
      </w:r>
      <w:r>
        <w:rPr>
          <w:rFonts w:ascii="David" w:hAnsi="David" w:cs="David"/>
          <w:sz w:val="24"/>
          <w:szCs w:val="24"/>
        </w:rPr>
        <w:t>ICON AMSTERDAM</w:t>
      </w:r>
      <w:r>
        <w:rPr>
          <w:rFonts w:ascii="David" w:hAnsi="David" w:cs="David"/>
          <w:sz w:val="24"/>
          <w:szCs w:val="24"/>
          <w:rtl/>
        </w:rPr>
        <w:t xml:space="preserve"> בו בחרה לעשות שימוש במונח </w:t>
      </w:r>
      <w:r>
        <w:rPr>
          <w:rFonts w:ascii="David" w:hAnsi="David" w:cs="David"/>
          <w:sz w:val="24"/>
          <w:szCs w:val="24"/>
        </w:rPr>
        <w:t>ICON</w:t>
      </w:r>
      <w:r>
        <w:rPr>
          <w:rFonts w:ascii="David" w:hAnsi="David" w:cs="David"/>
          <w:sz w:val="24"/>
          <w:szCs w:val="24"/>
          <w:rtl/>
        </w:rPr>
        <w:t xml:space="preserve"> יחד עם צירוף שם של עיר עוד בשנת 2018. המשיבים טוענים כי כל העיצובים וכל המותג הוא העתקה מאחרים על ידי המבקשים.</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 </w:t>
      </w: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b/>
          <w:bCs/>
          <w:sz w:val="24"/>
          <w:szCs w:val="24"/>
          <w:rtl/>
        </w:rPr>
        <w:t xml:space="preserve">לטענת המשיבים, </w:t>
      </w:r>
      <w:r>
        <w:rPr>
          <w:rFonts w:ascii="David" w:hAnsi="David" w:cs="David"/>
          <w:sz w:val="24"/>
          <w:szCs w:val="24"/>
          <w:rtl/>
        </w:rPr>
        <w:t>זכותם של המבקשים הינה אך ורק בסימן המסחר הרשום – קרי סימן המסחר בצורה בה נרשם: המלל בצירוף הלוגו. המשיבים מכחישים נחרצות כי עשו שימוש בסימן המסחר של המבקש. הם מפנים לכך שלא צורפה ולו ראיה אחת שהם עושים שימוש בסימן המסחר הרשום של המבקש. המשיבים צירפו נתונים מארגון הקניין הרוחני העולמי (</w:t>
      </w:r>
      <w:r>
        <w:rPr>
          <w:rFonts w:ascii="David" w:hAnsi="David" w:cs="David"/>
          <w:sz w:val="24"/>
          <w:szCs w:val="24"/>
        </w:rPr>
        <w:t>WIPO</w:t>
      </w:r>
      <w:r>
        <w:rPr>
          <w:rFonts w:ascii="David" w:hAnsi="David" w:cs="David"/>
          <w:sz w:val="24"/>
          <w:szCs w:val="24"/>
          <w:rtl/>
        </w:rPr>
        <w:t xml:space="preserve">) ומרשם סימני המסחר בישראל מהם עולה לטענתם כי השימוש במונח </w:t>
      </w:r>
      <w:r>
        <w:rPr>
          <w:rFonts w:ascii="David" w:hAnsi="David" w:cs="David"/>
          <w:sz w:val="24"/>
          <w:szCs w:val="24"/>
        </w:rPr>
        <w:t>ICON</w:t>
      </w:r>
      <w:r>
        <w:rPr>
          <w:rFonts w:ascii="David" w:hAnsi="David" w:cs="David"/>
          <w:sz w:val="24"/>
          <w:szCs w:val="24"/>
          <w:rtl/>
        </w:rPr>
        <w:t xml:space="preserve"> הינו שימוש נפוץ ומקובל בתחום האופנה, כחלק מהסימן (נספחים 5-7 לתשובה).</w:t>
      </w:r>
    </w:p>
    <w:p w:rsidR="00FC11E6" w:rsidRDefault="00FC11E6" w:rsidP="00FC11E6">
      <w:pPr>
        <w:pStyle w:val="ad"/>
        <w:spacing w:after="0" w:line="360" w:lineRule="auto"/>
        <w:ind w:left="0"/>
        <w:jc w:val="both"/>
        <w:rPr>
          <w:rFonts w:ascii="David" w:hAnsi="David" w:cs="David"/>
          <w:b/>
          <w:bCs/>
          <w:sz w:val="24"/>
          <w:szCs w:val="24"/>
          <w:u w:val="single"/>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b/>
          <w:bCs/>
          <w:sz w:val="24"/>
          <w:szCs w:val="24"/>
          <w:rtl/>
        </w:rPr>
        <w:t>לטענת המשיבים,</w:t>
      </w:r>
      <w:r>
        <w:rPr>
          <w:rFonts w:ascii="David" w:hAnsi="David" w:cs="David"/>
          <w:sz w:val="24"/>
          <w:szCs w:val="24"/>
          <w:rtl/>
        </w:rPr>
        <w:t xml:space="preserve"> המבקש</w:t>
      </w:r>
      <w:r>
        <w:rPr>
          <w:rFonts w:ascii="David" w:hAnsi="David" w:cs="David"/>
          <w:b/>
          <w:bCs/>
          <w:sz w:val="24"/>
          <w:szCs w:val="24"/>
          <w:rtl/>
        </w:rPr>
        <w:t xml:space="preserve"> </w:t>
      </w:r>
      <w:r>
        <w:rPr>
          <w:rFonts w:ascii="David" w:hAnsi="David" w:cs="David"/>
          <w:sz w:val="24"/>
          <w:szCs w:val="24"/>
          <w:rtl/>
        </w:rPr>
        <w:t>מסתיר</w:t>
      </w:r>
      <w:r>
        <w:rPr>
          <w:rFonts w:ascii="David" w:hAnsi="David" w:cs="David"/>
          <w:b/>
          <w:bCs/>
          <w:sz w:val="24"/>
          <w:szCs w:val="24"/>
          <w:rtl/>
        </w:rPr>
        <w:t xml:space="preserve"> </w:t>
      </w:r>
      <w:r>
        <w:rPr>
          <w:rFonts w:ascii="David" w:hAnsi="David" w:cs="David"/>
          <w:sz w:val="24"/>
          <w:szCs w:val="24"/>
          <w:rtl/>
        </w:rPr>
        <w:t xml:space="preserve">את העובדה שאלמוג כאשר עבד אצל המשיבה באמצעות צד שלישי בנה את המותג נשוא התביעה והבקשה, לרבות נטילת רשימת הלקוחות של המשיבה שלא כדין ועושה בה שימוש.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b/>
          <w:bCs/>
          <w:sz w:val="24"/>
          <w:szCs w:val="24"/>
          <w:rtl/>
        </w:rPr>
        <w:t>לטענת המשיבים,</w:t>
      </w:r>
      <w:r>
        <w:rPr>
          <w:rFonts w:ascii="David" w:hAnsi="David" w:cs="David"/>
          <w:sz w:val="24"/>
          <w:szCs w:val="24"/>
          <w:rtl/>
        </w:rPr>
        <w:t xml:space="preserve"> הבקשה הוגשה בשיהוי ניכר. המבקשים יודעים על הקולקציה מחודש 8/2024, כאשר התנהל בעניין זה דין ודברים בין הצדדים, שגם אותו בחוסר תום לב לא חשפו במלואו בפני בימ"ש, כאשר הוגשה הבקשה במעמד צד אחד.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b/>
          <w:bCs/>
          <w:sz w:val="24"/>
          <w:szCs w:val="24"/>
          <w:rtl/>
        </w:rPr>
        <w:lastRenderedPageBreak/>
        <w:t>לטענת המשיבים</w:t>
      </w:r>
      <w:r>
        <w:rPr>
          <w:rFonts w:ascii="David" w:hAnsi="David" w:cs="David"/>
          <w:sz w:val="24"/>
          <w:szCs w:val="24"/>
          <w:rtl/>
        </w:rPr>
        <w:t>, דינה של המבקשת להימחק בהעדר כל זכות. המבקש הוא בעל סימן המסחר הרשום, וכך גם המוניטין הנטען, ועל כן אין למבקשת כל עילה להגשת הבקשה (והתביעה).</w:t>
      </w:r>
    </w:p>
    <w:p w:rsidR="00FC11E6" w:rsidRDefault="00FC11E6" w:rsidP="00FC11E6">
      <w:pPr>
        <w:pStyle w:val="ad"/>
        <w:rPr>
          <w:rFonts w:ascii="David" w:hAnsi="David" w:cs="David"/>
          <w:sz w:val="24"/>
          <w:szCs w:val="24"/>
        </w:rPr>
      </w:pPr>
    </w:p>
    <w:p w:rsidR="00FC11E6" w:rsidRDefault="00FC11E6" w:rsidP="00FC11E6">
      <w:pPr>
        <w:pStyle w:val="ad"/>
        <w:spacing w:after="0" w:line="360" w:lineRule="auto"/>
        <w:ind w:left="0"/>
        <w:jc w:val="both"/>
        <w:rPr>
          <w:rFonts w:ascii="David" w:hAnsi="David" w:cs="David"/>
          <w:b/>
          <w:bCs/>
          <w:sz w:val="24"/>
          <w:szCs w:val="24"/>
          <w:u w:val="single"/>
          <w:rtl/>
        </w:rPr>
      </w:pPr>
    </w:p>
    <w:p w:rsidR="00FC11E6" w:rsidRDefault="00FC11E6" w:rsidP="00FC11E6">
      <w:pPr>
        <w:pStyle w:val="ad"/>
        <w:spacing w:after="0" w:line="360" w:lineRule="auto"/>
        <w:ind w:left="0"/>
        <w:jc w:val="both"/>
        <w:rPr>
          <w:rFonts w:ascii="David" w:hAnsi="David" w:cs="David"/>
          <w:b/>
          <w:bCs/>
          <w:sz w:val="24"/>
          <w:szCs w:val="24"/>
          <w:u w:val="single"/>
          <w:rtl/>
        </w:rPr>
      </w:pPr>
      <w:r>
        <w:rPr>
          <w:rFonts w:ascii="David" w:hAnsi="David" w:cs="David"/>
          <w:b/>
          <w:bCs/>
          <w:sz w:val="24"/>
          <w:szCs w:val="24"/>
          <w:u w:val="single"/>
          <w:rtl/>
        </w:rPr>
        <w:t>דיון והכרעה</w:t>
      </w:r>
    </w:p>
    <w:p w:rsidR="00FC11E6" w:rsidRDefault="00FC11E6" w:rsidP="00FC11E6">
      <w:pPr>
        <w:pStyle w:val="ad"/>
        <w:spacing w:after="0" w:line="360" w:lineRule="auto"/>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u w:val="single"/>
          <w:rtl/>
        </w:rPr>
        <w:t>קיומן של ראיות מספקות לכאורה בקיומה של עילת תביעה –</w:t>
      </w:r>
      <w:r>
        <w:rPr>
          <w:rFonts w:ascii="David" w:hAnsi="David" w:cs="David"/>
          <w:sz w:val="24"/>
          <w:szCs w:val="24"/>
          <w:rtl/>
        </w:rPr>
        <w:t xml:space="preserve"> בכל הנוגע לבחינת סיכויי התביעה ומבלי לקבוע מסמרות לתביעה העיקרית, המשוכה שיהיה על המבקשים לעבור גבוהה. שוכנעתי לאחר בחינת העדויות והראיות כי על המבקשים יהיה להוכיח רכיבים רבים בהתאם לסעדים שנתבעו בתביעה, וכאשר לא פירטו גם כיצד חושב סכום התביעה בהתאם לרכיבי התביעה השונים (ראו לגבי חשיבות הגדרת הסעד: רע"א 6500/19 </w:t>
      </w:r>
      <w:r>
        <w:rPr>
          <w:rFonts w:ascii="Miriam" w:hAnsi="Miriam" w:cs="Miriam"/>
          <w:sz w:val="24"/>
          <w:szCs w:val="24"/>
          <w:rtl/>
        </w:rPr>
        <w:t xml:space="preserve">גבריאל נ' אשד </w:t>
      </w:r>
      <w:r>
        <w:rPr>
          <w:rFonts w:ascii="David" w:hAnsi="David" w:cs="David"/>
          <w:sz w:val="24"/>
          <w:szCs w:val="24"/>
          <w:rtl/>
        </w:rPr>
        <w:t>(נבו, 7.5.2020)).</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t>הפרת של סימן המסחר של המבקש -</w:t>
      </w:r>
      <w:r>
        <w:rPr>
          <w:rFonts w:ascii="David" w:hAnsi="David" w:cs="David"/>
          <w:sz w:val="24"/>
          <w:szCs w:val="24"/>
          <w:rtl/>
        </w:rPr>
        <w:t xml:space="preserve"> בנספח 4 לבקשה צירפו המבקשים את תעודת סימן המסחר הרשום שלהם: </w:t>
      </w:r>
    </w:p>
    <w:p w:rsidR="00FC11E6" w:rsidRDefault="00FC11E6" w:rsidP="00FC11E6">
      <w:pPr>
        <w:pStyle w:val="ad"/>
        <w:rPr>
          <w:rFonts w:ascii="David" w:hAnsi="David" w:cs="David"/>
          <w:sz w:val="24"/>
          <w:szCs w:val="24"/>
        </w:rPr>
      </w:pP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noProof/>
          <w:sz w:val="24"/>
          <w:szCs w:val="24"/>
        </w:rPr>
        <w:drawing>
          <wp:inline distT="0" distB="0" distL="0" distR="0">
            <wp:extent cx="1025525" cy="540385"/>
            <wp:effectExtent l="0" t="0" r="3175"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5525" cy="540385"/>
                    </a:xfrm>
                    <a:prstGeom prst="rect">
                      <a:avLst/>
                    </a:prstGeom>
                    <a:noFill/>
                    <a:ln>
                      <a:noFill/>
                    </a:ln>
                  </pic:spPr>
                </pic:pic>
              </a:graphicData>
            </a:graphic>
          </wp:inline>
        </w:drawing>
      </w:r>
    </w:p>
    <w:p w:rsidR="00FC11E6" w:rsidRDefault="00FC11E6" w:rsidP="00FC11E6">
      <w:pPr>
        <w:pStyle w:val="ad"/>
        <w:spacing w:after="0" w:line="360" w:lineRule="auto"/>
        <w:ind w:left="567"/>
        <w:jc w:val="both"/>
      </w:pPr>
      <w:r>
        <w:rPr>
          <w:rFonts w:ascii="David" w:hAnsi="David" w:cs="David"/>
          <w:sz w:val="24"/>
          <w:szCs w:val="24"/>
          <w:rtl/>
        </w:rPr>
        <w:t>סימן המסחר הוגש ביום 21.6.</w:t>
      </w:r>
      <w:r>
        <w:rPr>
          <w:rFonts w:ascii="David" w:hAnsi="David" w:cs="David"/>
          <w:sz w:val="24"/>
          <w:szCs w:val="24"/>
          <w:u w:val="single"/>
          <w:rtl/>
        </w:rPr>
        <w:t>2023</w:t>
      </w:r>
      <w:r>
        <w:rPr>
          <w:rFonts w:ascii="David" w:hAnsi="David" w:cs="David"/>
          <w:sz w:val="24"/>
          <w:szCs w:val="24"/>
          <w:rtl/>
        </w:rPr>
        <w:t xml:space="preserve"> והינו בתוקף למשך 10 שנים. סימן המסחר הוא לגבי סוג 25: דברי הלבשה, הנעלה וכיסויי ראש. הבעלים הוא </w:t>
      </w:r>
      <w:r>
        <w:rPr>
          <w:rFonts w:ascii="David" w:hAnsi="David" w:cs="David"/>
          <w:sz w:val="24"/>
          <w:szCs w:val="24"/>
          <w:u w:val="single"/>
          <w:rtl/>
        </w:rPr>
        <w:t>המבקש</w:t>
      </w:r>
      <w:r>
        <w:rPr>
          <w:rFonts w:ascii="David" w:hAnsi="David" w:cs="David"/>
          <w:sz w:val="24"/>
          <w:szCs w:val="24"/>
          <w:rtl/>
        </w:rPr>
        <w:t xml:space="preserve"> בלבד. </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אין מחלוקת כי למשיבים אין סימן מסחר רשום בעת הזו. לבקשה צורף מרשם סימני המסחר (נספח 13) דוח בחינה </w:t>
      </w:r>
      <w:r>
        <w:rPr>
          <w:rFonts w:ascii="David" w:hAnsi="David" w:cs="David"/>
          <w:sz w:val="24"/>
          <w:szCs w:val="24"/>
          <w:u w:val="single"/>
          <w:rtl/>
        </w:rPr>
        <w:t>ודחייה</w:t>
      </w:r>
      <w:r>
        <w:rPr>
          <w:rFonts w:ascii="David" w:hAnsi="David" w:cs="David"/>
          <w:sz w:val="24"/>
          <w:szCs w:val="24"/>
          <w:rtl/>
        </w:rPr>
        <w:t xml:space="preserve"> לרישום סימן </w:t>
      </w:r>
      <w:r>
        <w:rPr>
          <w:rFonts w:ascii="David" w:hAnsi="David"/>
        </w:rPr>
        <w:t>ICON PARIS</w:t>
      </w:r>
      <w:r>
        <w:rPr>
          <w:rFonts w:ascii="David" w:hAnsi="David" w:cs="David"/>
          <w:sz w:val="24"/>
          <w:szCs w:val="24"/>
          <w:rtl/>
        </w:rPr>
        <w:t xml:space="preserve"> מיום 6.2.2024.</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על כן בעת הזו ולצורך הסעד הזמני יש למבקש זכויות בסימן מסחר רשום אל מול המשיבים שאין להם זכות כזו. יש לקחת בחשבון את משך הזמן שהסימן רשום, שאינו פרק זמן ארוך אלא של כשנה וחצי. אולם בכך לא די. על המבקשים להראות את אותה הפרה נטענת.</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בכל הראיות שצורפו על ידי המבקשים ועל ידי המשיבים אין הפרה אחת של מלוא סימן המסחר הרשום של המבקשים – קרי גם המלל וגם הלוגו, כפי שנרשם הסימן.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lastRenderedPageBreak/>
        <w:t>בפסיקה נקבע כי ניתן לטעון להפרה של סימן המסחר גם בסימן דומה (להבדיל מסימן זהה), ואז נדרש להוכיח הטעיית הציבור:</w:t>
      </w:r>
    </w:p>
    <w:p w:rsidR="00FC11E6" w:rsidRDefault="00FC11E6" w:rsidP="00FC11E6">
      <w:pPr>
        <w:spacing w:line="360" w:lineRule="auto"/>
        <w:ind w:left="567"/>
        <w:jc w:val="both"/>
        <w:rPr>
          <w:rFonts w:cs="FrankRuehl"/>
          <w:b/>
          <w:bCs/>
          <w:spacing w:val="10"/>
        </w:rPr>
      </w:pPr>
      <w:r>
        <w:rPr>
          <w:rFonts w:cs="FrankRuehl"/>
          <w:spacing w:val="10"/>
          <w:rtl/>
        </w:rPr>
        <w:t>"</w:t>
      </w:r>
      <w:r>
        <w:rPr>
          <w:rFonts w:cs="FrankRuehl"/>
          <w:b/>
          <w:bCs/>
          <w:spacing w:val="10"/>
          <w:rtl/>
        </w:rPr>
        <w:t xml:space="preserve">[..] כאשר עניין לנו בשימוש הנעשה בסימן </w:t>
      </w:r>
      <w:r>
        <w:rPr>
          <w:rFonts w:cs="Miriam"/>
          <w:rtl/>
        </w:rPr>
        <w:t>דומה</w:t>
      </w:r>
      <w:r>
        <w:rPr>
          <w:rFonts w:cs="FrankRuehl"/>
          <w:b/>
          <w:bCs/>
          <w:spacing w:val="10"/>
          <w:rtl/>
        </w:rPr>
        <w:t xml:space="preserve"> - להבדיל משימוש הנעשה בסימן זהה - הטוען להפרה צריך להוכיח שהסימן האחר דומה לסימנו עד כדי הטעיית הציבור, והבחינה בהקשר זה נעשית "ביחס לאנשים בעלי היגיון רגיל, הנוהגים בשקידה סבירה" (עניין </w:t>
      </w:r>
      <w:r>
        <w:rPr>
          <w:rFonts w:cs="Miriam"/>
          <w:rtl/>
        </w:rPr>
        <w:t>טעם טבע</w:t>
      </w:r>
      <w:r>
        <w:rPr>
          <w:rFonts w:cs="FrankRuehl"/>
          <w:b/>
          <w:bCs/>
          <w:spacing w:val="10"/>
          <w:rtl/>
        </w:rPr>
        <w:t xml:space="preserve">, 450). דרישת הדמיון בין שני המוצרים הינה ברף העולה על זה של "קשר" בלבד (השוו סעיף 46א(ב) לפקודה וכן עניין </w:t>
      </w:r>
      <w:r>
        <w:rPr>
          <w:rFonts w:cs="Miriam"/>
          <w:rtl/>
        </w:rPr>
        <w:t>אבסולוט</w:t>
      </w:r>
      <w:r>
        <w:rPr>
          <w:rFonts w:cs="FrankRuehl"/>
          <w:b/>
          <w:bCs/>
          <w:spacing w:val="10"/>
          <w:rtl/>
        </w:rPr>
        <w:t>, 885), וכבר נפסק כי עצם החיקוי אינו מעיד בהכרח על כוונה להטעות את הלקוחות וכי גם כוונה להטעות "אינה מחייבת את המסקנה כי אכן התקיים חשש להטעיה" (ע"א 9070/10</w:t>
      </w:r>
      <w:r>
        <w:rPr>
          <w:rStyle w:val="apple-converted-space"/>
          <w:b/>
          <w:bCs/>
        </w:rPr>
        <w:t> </w:t>
      </w:r>
      <w:r>
        <w:rPr>
          <w:rFonts w:cs="Miriam"/>
          <w:b/>
          <w:bCs/>
          <w:rtl/>
        </w:rPr>
        <w:t xml:space="preserve"> </w:t>
      </w:r>
      <w:r>
        <w:rPr>
          <w:rFonts w:cs="Miriam"/>
          <w:rtl/>
        </w:rPr>
        <w:t>טלי דדון-יפרח נ' א.ת.סנאפ בע"מ</w:t>
      </w:r>
      <w:r>
        <w:rPr>
          <w:rFonts w:cs="Miriam"/>
          <w:b/>
          <w:bCs/>
          <w:rtl/>
        </w:rPr>
        <w:t xml:space="preserve">, </w:t>
      </w:r>
      <w:r>
        <w:rPr>
          <w:rFonts w:cs="FrankRuehl"/>
          <w:b/>
          <w:bCs/>
          <w:spacing w:val="10"/>
          <w:rtl/>
        </w:rPr>
        <w:t>פסקה 11</w:t>
      </w:r>
      <w:r>
        <w:rPr>
          <w:rFonts w:cs="Miriam"/>
          <w:b/>
          <w:bCs/>
          <w:rtl/>
        </w:rPr>
        <w:t xml:space="preserve"> </w:t>
      </w:r>
      <w:r>
        <w:rPr>
          <w:rFonts w:cs="FrankRuehl"/>
          <w:b/>
          <w:bCs/>
          <w:spacing w:val="10"/>
          <w:rtl/>
        </w:rPr>
        <w:t>(</w:t>
      </w:r>
      <w:r>
        <w:rPr>
          <w:b/>
          <w:bCs/>
          <w:rtl/>
        </w:rPr>
        <w:t>[פורסם בנבו]</w:t>
      </w:r>
      <w:r>
        <w:rPr>
          <w:rFonts w:cs="FrankRuehl"/>
          <w:b/>
          <w:bCs/>
          <w:spacing w:val="10"/>
          <w:rtl/>
        </w:rPr>
        <w:t xml:space="preserve">, 12.3.2012) (להלן: </w:t>
      </w:r>
      <w:r>
        <w:rPr>
          <w:rFonts w:cs="Miriam"/>
          <w:rtl/>
        </w:rPr>
        <w:t>עניין יפרח</w:t>
      </w:r>
      <w:r>
        <w:rPr>
          <w:rFonts w:cs="FrankRuehl"/>
          <w:b/>
          <w:bCs/>
          <w:spacing w:val="10"/>
          <w:rtl/>
        </w:rPr>
        <w:t xml:space="preserve">) העוסק בעוולה של גניבת עין). </w:t>
      </w:r>
    </w:p>
    <w:p w:rsidR="00FC11E6" w:rsidRDefault="00FC11E6" w:rsidP="00FC11E6">
      <w:pPr>
        <w:spacing w:line="360" w:lineRule="auto"/>
        <w:ind w:left="567"/>
        <w:jc w:val="both"/>
        <w:rPr>
          <w:rFonts w:cs="FrankRuehl"/>
          <w:b/>
          <w:bCs/>
          <w:spacing w:val="10"/>
          <w:rtl/>
        </w:rPr>
      </w:pPr>
      <w:r>
        <w:rPr>
          <w:rFonts w:cs="FrankRuehl"/>
          <w:b/>
          <w:bCs/>
          <w:spacing w:val="10"/>
          <w:rtl/>
        </w:rPr>
        <w:t xml:space="preserve">המבחן המקובל לבחינת קיומו של דמיון מטעה הינו "המבחן המשולש", עליו עמד בית משפט קמא, הכולל את מבחן המראה והצליל; מבחן סוג הסחורה וחוג הלקוחות; ומבחן נסיבות העניין (ראו ע"א 261/64 פרו-פרו ביסקויט נ' חברת פרומין, פ"ד יח(3) 275, 278 (1964)). אופן יישומם של מבחנים אלו בכל מקרה ומקרה אינו נעשה לפי סטנדרטים אחידים והוא מושפע מאופיו המבחין של הסימן הרשום ומהיקף ההגנה לה הוא ראוי (ראו ע"א 4116/06 </w:t>
      </w:r>
      <w:r>
        <w:rPr>
          <w:b/>
          <w:bCs/>
        </w:rPr>
        <w:t>Gateway</w:t>
      </w:r>
      <w:r>
        <w:rPr>
          <w:rFonts w:cs="Miriam"/>
          <w:b/>
          <w:bCs/>
        </w:rPr>
        <w:t xml:space="preserve"> </w:t>
      </w:r>
      <w:r>
        <w:rPr>
          <w:b/>
          <w:bCs/>
        </w:rPr>
        <w:t>Inc</w:t>
      </w:r>
      <w:r>
        <w:rPr>
          <w:rFonts w:cs="Miriam"/>
          <w:b/>
          <w:bCs/>
        </w:rPr>
        <w:t>.</w:t>
      </w:r>
      <w:r>
        <w:rPr>
          <w:rStyle w:val="apple-converted-space"/>
          <w:rFonts w:cs="Miriam"/>
          <w:b/>
          <w:bCs/>
          <w:rtl/>
        </w:rPr>
        <w:t> </w:t>
      </w:r>
      <w:r>
        <w:rPr>
          <w:rFonts w:cs="Miriam"/>
          <w:rtl/>
        </w:rPr>
        <w:t>נ' פסקול טכנולוגיות מתקדמות בע"מ</w:t>
      </w:r>
      <w:r>
        <w:rPr>
          <w:rFonts w:cs="FrankRuehl"/>
          <w:b/>
          <w:bCs/>
          <w:spacing w:val="10"/>
          <w:rtl/>
        </w:rPr>
        <w:t>, פסקה 16 (</w:t>
      </w:r>
      <w:r>
        <w:rPr>
          <w:b/>
          <w:bCs/>
          <w:rtl/>
        </w:rPr>
        <w:t>[פורסם בנבו]</w:t>
      </w:r>
      <w:r>
        <w:rPr>
          <w:rFonts w:cs="FrankRuehl"/>
          <w:b/>
          <w:bCs/>
          <w:spacing w:val="10"/>
          <w:rtl/>
        </w:rPr>
        <w:t>, 20.6.2007))</w:t>
      </w:r>
      <w:r>
        <w:rPr>
          <w:rFonts w:cs="FrankRuehl"/>
          <w:spacing w:val="10"/>
          <w:rtl/>
        </w:rPr>
        <w:t>.</w:t>
      </w:r>
      <w:r>
        <w:rPr>
          <w:rFonts w:ascii="David" w:hAnsi="David"/>
          <w:rtl/>
        </w:rPr>
        <w:t>"</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ראו: ע"א 563/11 </w:t>
      </w:r>
      <w:r>
        <w:rPr>
          <w:rFonts w:ascii="Times New Roman" w:hAnsi="Times New Roman" w:cs="Times New Roman"/>
          <w:sz w:val="24"/>
          <w:szCs w:val="24"/>
        </w:rPr>
        <w:t>ADIDAS SALOMON A.G.</w:t>
      </w:r>
      <w:r>
        <w:rPr>
          <w:rFonts w:ascii="Miriam" w:hAnsi="Miriam" w:cs="Miriam"/>
          <w:sz w:val="24"/>
          <w:szCs w:val="24"/>
          <w:rtl/>
        </w:rPr>
        <w:t xml:space="preserve"> נ' ג'לאל יאסין </w:t>
      </w:r>
      <w:r>
        <w:rPr>
          <w:rFonts w:ascii="David" w:hAnsi="David" w:cs="David"/>
          <w:sz w:val="24"/>
          <w:szCs w:val="24"/>
          <w:rtl/>
        </w:rPr>
        <w:t>סה(3) 774, 798-799 (להלן: "</w:t>
      </w:r>
      <w:r>
        <w:rPr>
          <w:rFonts w:ascii="Miriam" w:hAnsi="Miriam" w:cs="Miriam"/>
          <w:sz w:val="24"/>
          <w:szCs w:val="24"/>
          <w:rtl/>
        </w:rPr>
        <w:t>עניין אדידס</w:t>
      </w:r>
      <w:r>
        <w:rPr>
          <w:rFonts w:ascii="David" w:hAnsi="David" w:cs="David"/>
          <w:sz w:val="24"/>
          <w:szCs w:val="24"/>
          <w:rtl/>
        </w:rPr>
        <w:t>").</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בחינת ראיות הצדדים מעלה כי תמונת המצב אינה מובהקת לצורך מתן סעד זמני: </w:t>
      </w:r>
    </w:p>
    <w:p w:rsidR="00FC11E6" w:rsidRDefault="00FC11E6" w:rsidP="00FC11E6">
      <w:pPr>
        <w:pStyle w:val="ad"/>
        <w:spacing w:after="0" w:line="360" w:lineRule="auto"/>
        <w:ind w:left="567"/>
        <w:jc w:val="both"/>
        <w:rPr>
          <w:rFonts w:ascii="David" w:hAnsi="David" w:cs="David"/>
          <w:sz w:val="24"/>
          <w:szCs w:val="24"/>
        </w:rPr>
      </w:pPr>
      <w:r>
        <w:rPr>
          <w:rFonts w:ascii="David" w:hAnsi="David" w:cs="David"/>
          <w:sz w:val="24"/>
          <w:szCs w:val="24"/>
          <w:rtl/>
        </w:rPr>
        <w:t xml:space="preserve">בחלק מהמוצרים יש שונות ברורה עם קווי דמיון רופפים למדי; </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בחלק מהמוצרים יש דמיון רב, אולם לא שוכנעתי כי הוא פרי יצירה ייחודית מוכחת ועיצוב מקורי דווקא של המבקשים. די לעת הזו בסעד הזמני בהבאת דוגמאות של המשיבים של מותג אחר שגם לו דמיון רב מאוד למוצרי המבקשים. </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בכל המוצרים ככל ומופיע מלל במוצרי המשיבים מופיע </w:t>
      </w:r>
      <w:r>
        <w:rPr>
          <w:rFonts w:ascii="David" w:hAnsi="David"/>
        </w:rPr>
        <w:t>ICON PARIS</w:t>
      </w:r>
      <w:r>
        <w:rPr>
          <w:rFonts w:ascii="David" w:hAnsi="David" w:cs="David"/>
          <w:sz w:val="24"/>
          <w:szCs w:val="24"/>
          <w:rtl/>
        </w:rPr>
        <w:t xml:space="preserve">, ואין שימוש בצירוף </w:t>
      </w:r>
      <w:r>
        <w:rPr>
          <w:rFonts w:ascii="David" w:hAnsi="David"/>
        </w:rPr>
        <w:t xml:space="preserve">ICON MILANO </w:t>
      </w:r>
      <w:r>
        <w:rPr>
          <w:rFonts w:ascii="David" w:hAnsi="David" w:cs="David"/>
          <w:sz w:val="24"/>
          <w:szCs w:val="24"/>
          <w:rtl/>
        </w:rPr>
        <w:t xml:space="preserve">. </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אצל שני הצדדים מופיע במספר מוצרים השימוש במילה </w:t>
      </w:r>
      <w:r>
        <w:rPr>
          <w:rFonts w:ascii="David" w:hAnsi="David" w:cs="David"/>
          <w:sz w:val="24"/>
          <w:szCs w:val="24"/>
        </w:rPr>
        <w:t>ICON</w:t>
      </w:r>
      <w:r>
        <w:rPr>
          <w:rFonts w:ascii="David" w:hAnsi="David" w:cs="David"/>
          <w:sz w:val="24"/>
          <w:szCs w:val="24"/>
          <w:rtl/>
        </w:rPr>
        <w:t xml:space="preserve"> שאינו מוגן עבור אף אחד מהם. </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לא די בשימוש בפלטת צבעים גנרית של שחור, לבן ובז' ואין הדבר ייחודי וגם אינו מטעה בהשוואה בין המוצרים של כל צד. </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lastRenderedPageBreak/>
        <w:t xml:space="preserve">התמלולים שבהם לכאורה הוכחה להטעיה לא היו מלאים, ולא כללו פרטים מלאים עם מי בוצעו. לא ניתן היה ללמוד מהם על מגמה גורפת וכללית של הטעיית צרכנים. שיחה אקראית עם מוכר אחד שאמר שמדובר במוצרי </w:t>
      </w:r>
      <w:r>
        <w:rPr>
          <w:rFonts w:ascii="David" w:hAnsi="David" w:cs="David"/>
          <w:sz w:val="24"/>
          <w:szCs w:val="24"/>
        </w:rPr>
        <w:t xml:space="preserve">ICON MILANO </w:t>
      </w:r>
      <w:r>
        <w:rPr>
          <w:rFonts w:ascii="David" w:hAnsi="David" w:cs="David"/>
          <w:sz w:val="24"/>
          <w:szCs w:val="24"/>
          <w:rtl/>
        </w:rPr>
        <w:t xml:space="preserve"> </w:t>
      </w:r>
      <w:r>
        <w:rPr>
          <w:rFonts w:ascii="David" w:hAnsi="David" w:cs="David" w:hint="cs"/>
          <w:sz w:val="24"/>
          <w:szCs w:val="24"/>
          <w:rtl/>
        </w:rPr>
        <w:t xml:space="preserve">אינה מהווה הוכחה כי כל קו המוצרים מטעה, כי מתקיים חשש להטעיה, וכי מדובר בכוונת מכוון של המשיבים.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בסיכומו של דבר וכפי שנקבע ב</w:t>
      </w:r>
      <w:r>
        <w:rPr>
          <w:rFonts w:ascii="Miriam" w:hAnsi="Miriam" w:cs="Miriam"/>
          <w:sz w:val="24"/>
          <w:szCs w:val="24"/>
          <w:rtl/>
        </w:rPr>
        <w:t>עניין</w:t>
      </w:r>
      <w:r>
        <w:rPr>
          <w:rFonts w:ascii="David" w:hAnsi="David" w:cs="David"/>
          <w:sz w:val="24"/>
          <w:szCs w:val="24"/>
          <w:rtl/>
        </w:rPr>
        <w:t xml:space="preserve"> </w:t>
      </w:r>
      <w:r>
        <w:rPr>
          <w:rFonts w:ascii="Miriam" w:hAnsi="Miriam" w:cs="Miriam"/>
          <w:sz w:val="24"/>
          <w:szCs w:val="24"/>
          <w:rtl/>
        </w:rPr>
        <w:t>אדידס</w:t>
      </w:r>
      <w:r>
        <w:rPr>
          <w:rFonts w:ascii="David" w:hAnsi="David" w:cs="David"/>
          <w:sz w:val="24"/>
          <w:szCs w:val="24"/>
          <w:rtl/>
        </w:rPr>
        <w:t xml:space="preserve"> לגבי הפרת סימן מסחר:</w:t>
      </w:r>
    </w:p>
    <w:p w:rsidR="00FC11E6" w:rsidRDefault="00FC11E6" w:rsidP="00FC11E6">
      <w:pPr>
        <w:spacing w:line="360" w:lineRule="auto"/>
        <w:ind w:left="567"/>
        <w:jc w:val="both"/>
        <w:rPr>
          <w:rFonts w:cs="FrankRuehl"/>
          <w:spacing w:val="10"/>
          <w:szCs w:val="28"/>
        </w:rPr>
      </w:pPr>
      <w:r>
        <w:rPr>
          <w:rFonts w:ascii="David" w:hAnsi="David"/>
          <w:rtl/>
        </w:rPr>
        <w:t>"</w:t>
      </w:r>
      <w:r>
        <w:rPr>
          <w:rFonts w:cs="FrankRuehl"/>
          <w:b/>
          <w:bCs/>
          <w:spacing w:val="10"/>
          <w:rtl/>
        </w:rPr>
        <w:t>בשלב יישום המבחנים ראוי לזכור עוד כי ההשוואה צריך שתעשה בין הסימנים בשלמותם ולא בין חלקים ספציפיים מהם (ראו: עניין</w:t>
      </w:r>
      <w:r>
        <w:rPr>
          <w:rFonts w:cs="Miriam"/>
          <w:rtl/>
        </w:rPr>
        <w:t xml:space="preserve"> טעם טבע</w:t>
      </w:r>
      <w:r>
        <w:rPr>
          <w:rFonts w:cs="FrankRuehl"/>
          <w:spacing w:val="10"/>
          <w:rtl/>
        </w:rPr>
        <w:t>,</w:t>
      </w:r>
      <w:r>
        <w:rPr>
          <w:rFonts w:cs="FrankRuehl"/>
          <w:b/>
          <w:bCs/>
          <w:spacing w:val="10"/>
          <w:rtl/>
        </w:rPr>
        <w:t xml:space="preserve"> 451; </w:t>
      </w:r>
      <w:r w:rsidRPr="00FC11E6">
        <w:rPr>
          <w:rFonts w:cs="FrankRuehl"/>
          <w:b/>
          <w:bCs/>
          <w:spacing w:val="10"/>
          <w:rtl/>
        </w:rPr>
        <w:t>רע"א 6658/09</w:t>
      </w:r>
      <w:r>
        <w:rPr>
          <w:rStyle w:val="apple-converted-space"/>
          <w:rFonts w:ascii="Arial TUR" w:hAnsi="Arial TUR" w:cs="FrankRuehl"/>
          <w:b/>
          <w:bCs/>
          <w:rtl/>
        </w:rPr>
        <w:t> </w:t>
      </w:r>
      <w:r>
        <w:rPr>
          <w:rFonts w:cs="Miriam"/>
          <w:color w:val="000000"/>
          <w:rtl/>
        </w:rPr>
        <w:t>מולטילוק בע"מ נ' רב בריח (08) תעשיות בע"מ</w:t>
      </w:r>
      <w:r>
        <w:rPr>
          <w:rFonts w:cs="FrankRuehl"/>
          <w:b/>
          <w:bCs/>
          <w:spacing w:val="10"/>
          <w:rtl/>
        </w:rPr>
        <w:t>, פסקה 9</w:t>
      </w:r>
      <w:r>
        <w:rPr>
          <w:b/>
          <w:bCs/>
          <w:color w:val="000000"/>
          <w:rtl/>
        </w:rPr>
        <w:t xml:space="preserve"> </w:t>
      </w:r>
      <w:r>
        <w:rPr>
          <w:rFonts w:cs="FrankRuehl"/>
          <w:b/>
          <w:bCs/>
          <w:spacing w:val="10"/>
          <w:rtl/>
        </w:rPr>
        <w:t>(</w:t>
      </w:r>
      <w:r>
        <w:rPr>
          <w:b/>
          <w:bCs/>
          <w:rtl/>
        </w:rPr>
        <w:t>[פורסם בנבו]</w:t>
      </w:r>
      <w:r>
        <w:rPr>
          <w:rFonts w:cs="FrankRuehl"/>
          <w:b/>
          <w:bCs/>
          <w:spacing w:val="10"/>
          <w:rtl/>
        </w:rPr>
        <w:t>, 12.1.2010) (להלן:</w:t>
      </w:r>
      <w:r>
        <w:rPr>
          <w:rFonts w:cs="FrankRuehl"/>
          <w:spacing w:val="10"/>
          <w:rtl/>
        </w:rPr>
        <w:t xml:space="preserve"> </w:t>
      </w:r>
      <w:r>
        <w:rPr>
          <w:rFonts w:cs="Miriam"/>
          <w:rtl/>
        </w:rPr>
        <w:t>עניין מולטילוק</w:t>
      </w:r>
      <w:r>
        <w:rPr>
          <w:rFonts w:cs="FrankRuehl"/>
          <w:b/>
          <w:bCs/>
          <w:spacing w:val="10"/>
          <w:rtl/>
        </w:rPr>
        <w:t>)) וכי על הבדיקה להתמקד בקיומו של דמיון מטעה בין הסימנים עצמם, בשונה למשל מעוולת גניבת העין בה נבדקים מכלול מעשיו של המפר</w:t>
      </w:r>
      <w:r>
        <w:rPr>
          <w:rFonts w:cs="FrankRuehl"/>
          <w:spacing w:val="10"/>
          <w:rtl/>
        </w:rPr>
        <w:t>"</w:t>
      </w:r>
      <w:r>
        <w:rPr>
          <w:rFonts w:cs="FrankRuehl"/>
          <w:spacing w:val="10"/>
          <w:szCs w:val="28"/>
          <w:rtl/>
        </w:rPr>
        <w:t>.</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ראו: </w:t>
      </w:r>
      <w:r>
        <w:rPr>
          <w:rFonts w:ascii="Miriam" w:hAnsi="Miriam" w:cs="Miriam"/>
          <w:sz w:val="24"/>
          <w:szCs w:val="24"/>
          <w:rtl/>
        </w:rPr>
        <w:t>עניין אדידס</w:t>
      </w:r>
      <w:r>
        <w:rPr>
          <w:rFonts w:ascii="David" w:hAnsi="David" w:cs="David"/>
          <w:sz w:val="24"/>
          <w:szCs w:val="24"/>
          <w:rtl/>
        </w:rPr>
        <w:t>, עמ' 799.</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בחינת כלל ראיות המבקשים מעלה כי הבחינה המבוקשת על ידי המבקשים הינה של חלקים ספציפיים בבגדים מסויימים ומהם מבוקש להסיק על דמיון מטעה. לא הייתה התייחסות מספקת לכך שלא הייתה הפרה אחת של סימן המסחר במלואו.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בנספח 1 לבקשה ציינו המבקשים כי הם מצרפים </w:t>
      </w:r>
      <w:r>
        <w:rPr>
          <w:rFonts w:ascii="David" w:hAnsi="David" w:cs="David"/>
          <w:sz w:val="24"/>
          <w:szCs w:val="24"/>
          <w:u w:val="single"/>
          <w:rtl/>
        </w:rPr>
        <w:t>טבלת עיצובים שהועתקו</w:t>
      </w:r>
      <w:r>
        <w:rPr>
          <w:rFonts w:ascii="David" w:hAnsi="David" w:cs="David"/>
          <w:sz w:val="24"/>
          <w:szCs w:val="24"/>
          <w:rtl/>
        </w:rPr>
        <w:t xml:space="preserve"> – אולם אין מדובר בטבלה. מדובר באוסף של תמונות זו לצד זו, אין כל הבחנה בין עיצוב לעיצוב או הגדרה מפורשת שלו (על מנת שניתן יהיה להבחין בין עיצוב לעיצוב לצורכי מתן הצו). בחלק מהתמונות קשה להתרשם הן מהמקור והן מההפרה הנטענת. </w:t>
      </w:r>
    </w:p>
    <w:p w:rsidR="00FC11E6" w:rsidRPr="00FC11E6" w:rsidRDefault="00FC11E6" w:rsidP="00FC11E6">
      <w:pPr>
        <w:pStyle w:val="ad"/>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כך למשל צורפו תמונות והשוואה לגבי חולצות כך: </w:t>
      </w:r>
    </w:p>
    <w:p w:rsidR="00FC11E6" w:rsidRDefault="00FC11E6" w:rsidP="00FC11E6">
      <w:pPr>
        <w:pStyle w:val="ad"/>
        <w:rPr>
          <w:rFonts w:ascii="David" w:hAnsi="David" w:cs="David"/>
          <w:sz w:val="24"/>
          <w:szCs w:val="24"/>
        </w:rPr>
      </w:pP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noProof/>
          <w:sz w:val="24"/>
          <w:szCs w:val="24"/>
        </w:rPr>
        <w:drawing>
          <wp:inline distT="0" distB="0" distL="0" distR="0">
            <wp:extent cx="2332190" cy="1629595"/>
            <wp:effectExtent l="0" t="0" r="0" b="889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0736" cy="1635567"/>
                    </a:xfrm>
                    <a:prstGeom prst="rect">
                      <a:avLst/>
                    </a:prstGeom>
                    <a:noFill/>
                    <a:ln>
                      <a:noFill/>
                    </a:ln>
                  </pic:spPr>
                </pic:pic>
              </a:graphicData>
            </a:graphic>
          </wp:inline>
        </w:drawing>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lastRenderedPageBreak/>
        <w:t xml:space="preserve">במבט ראשון יש דמיון מסויים (חולצות דומות הובאו גם לדיון). אולם אין מדובר בשימוש זהה ואין מדובר בשימוש מלא בסימן המסחר של המבקשים. יש אלמנטים דומים, אך לא זהים. הדמיון בעיקר נוצר משימת המלל בצמוד ובמקום דומה. אולם לא שוכנעתי כי הוא עד כדי הטעייה בפרט כאשר בחולצות </w:t>
      </w:r>
      <w:r>
        <w:rPr>
          <w:rFonts w:ascii="David" w:hAnsi="David" w:cs="David"/>
          <w:sz w:val="24"/>
          <w:szCs w:val="24"/>
        </w:rPr>
        <w:t>ICON PARIS</w:t>
      </w:r>
      <w:r>
        <w:rPr>
          <w:rFonts w:ascii="David" w:hAnsi="David" w:cs="David"/>
          <w:sz w:val="24"/>
          <w:szCs w:val="24"/>
          <w:rtl/>
        </w:rPr>
        <w:t xml:space="preserve"> הכיתוב גדול ובולט בחולצת </w:t>
      </w:r>
      <w:r>
        <w:rPr>
          <w:rFonts w:ascii="David" w:hAnsi="David" w:cs="David"/>
          <w:sz w:val="24"/>
          <w:szCs w:val="24"/>
        </w:rPr>
        <w:t xml:space="preserve">ICON MILANO </w:t>
      </w:r>
      <w:r>
        <w:rPr>
          <w:rFonts w:ascii="David" w:hAnsi="David" w:cs="David"/>
          <w:sz w:val="24"/>
          <w:szCs w:val="24"/>
          <w:rtl/>
        </w:rPr>
        <w:t xml:space="preserve"> </w:t>
      </w:r>
      <w:r>
        <w:rPr>
          <w:rFonts w:ascii="David" w:hAnsi="David" w:cs="David" w:hint="cs"/>
          <w:sz w:val="24"/>
          <w:szCs w:val="24"/>
          <w:rtl/>
        </w:rPr>
        <w:t xml:space="preserve">הכיתוב כמעט נבלע ומה שבולט הוא דווקא הלוגו. </w:t>
      </w:r>
    </w:p>
    <w:p w:rsidR="00FC11E6" w:rsidRDefault="00FC11E6" w:rsidP="00FC11E6">
      <w:pPr>
        <w:pStyle w:val="ad"/>
        <w:spacing w:after="0" w:line="36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לגבי חליפות טרנינג צורפו התמונות הבאות:</w:t>
      </w:r>
    </w:p>
    <w:p w:rsidR="00FC11E6" w:rsidRDefault="00FC11E6" w:rsidP="00FC11E6">
      <w:pPr>
        <w:pStyle w:val="ad"/>
        <w:spacing w:after="0" w:line="360" w:lineRule="auto"/>
        <w:ind w:left="567"/>
        <w:jc w:val="both"/>
        <w:rPr>
          <w:rFonts w:ascii="David" w:hAnsi="David" w:cs="David"/>
          <w:sz w:val="24"/>
          <w:szCs w:val="24"/>
        </w:rPr>
      </w:pPr>
      <w:r>
        <w:rPr>
          <w:rFonts w:ascii="David" w:hAnsi="David" w:cs="David"/>
          <w:noProof/>
          <w:sz w:val="24"/>
          <w:szCs w:val="24"/>
        </w:rPr>
        <w:drawing>
          <wp:inline distT="0" distB="0" distL="0" distR="0">
            <wp:extent cx="3033885" cy="1979958"/>
            <wp:effectExtent l="0" t="0" r="0" b="127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4125" cy="1986641"/>
                    </a:xfrm>
                    <a:prstGeom prst="rect">
                      <a:avLst/>
                    </a:prstGeom>
                    <a:noFill/>
                    <a:ln>
                      <a:noFill/>
                    </a:ln>
                  </pic:spPr>
                </pic:pic>
              </a:graphicData>
            </a:graphic>
          </wp:inline>
        </w:drawing>
      </w:r>
    </w:p>
    <w:p w:rsidR="00FC11E6" w:rsidRDefault="00FC11E6" w:rsidP="00622CAA">
      <w:pPr>
        <w:pStyle w:val="ad"/>
        <w:spacing w:after="0" w:line="360" w:lineRule="auto"/>
        <w:ind w:left="567"/>
        <w:jc w:val="both"/>
        <w:rPr>
          <w:rFonts w:ascii="David" w:hAnsi="David" w:cs="David"/>
          <w:sz w:val="24"/>
          <w:szCs w:val="24"/>
          <w:rtl/>
        </w:rPr>
      </w:pPr>
      <w:r>
        <w:rPr>
          <w:rFonts w:ascii="David" w:hAnsi="David" w:cs="David"/>
          <w:sz w:val="24"/>
          <w:szCs w:val="24"/>
          <w:rtl/>
        </w:rPr>
        <w:t xml:space="preserve">מהשוואה זו לא ניתן ללמוד מה ההפרה ומה הדמיון המילולי והציורי לגבי העיצובים. </w:t>
      </w:r>
    </w:p>
    <w:p w:rsidR="00622CAA" w:rsidRDefault="00622CAA" w:rsidP="00622CAA">
      <w:pPr>
        <w:pStyle w:val="ad"/>
        <w:spacing w:after="0" w:line="360" w:lineRule="auto"/>
        <w:ind w:left="567"/>
        <w:jc w:val="both"/>
        <w:rPr>
          <w:rFonts w:ascii="David" w:hAnsi="David" w:cs="David"/>
          <w:sz w:val="24"/>
          <w:szCs w:val="24"/>
        </w:rPr>
      </w:pPr>
    </w:p>
    <w:p w:rsidR="00FC11E6" w:rsidRDefault="00FC11E6" w:rsidP="00622CAA">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גם לגבי החליפות הנוספות לא ניתן ללמוד מה מהות ההפרה:</w:t>
      </w:r>
    </w:p>
    <w:p w:rsidR="00FC11E6" w:rsidRDefault="00FC11E6" w:rsidP="00FC11E6">
      <w:pPr>
        <w:pStyle w:val="ad"/>
        <w:spacing w:after="0" w:line="360" w:lineRule="auto"/>
        <w:rPr>
          <w:rFonts w:ascii="David" w:hAnsi="David" w:cs="David"/>
          <w:sz w:val="24"/>
          <w:szCs w:val="24"/>
          <w:rtl/>
        </w:rPr>
      </w:pPr>
      <w:r>
        <w:rPr>
          <w:rFonts w:ascii="David" w:hAnsi="David" w:cs="David"/>
          <w:noProof/>
          <w:sz w:val="24"/>
          <w:szCs w:val="24"/>
        </w:rPr>
        <w:drawing>
          <wp:inline distT="0" distB="0" distL="0" distR="0">
            <wp:extent cx="3021127" cy="2305878"/>
            <wp:effectExtent l="0" t="0" r="8255"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34262" cy="2315903"/>
                    </a:xfrm>
                    <a:prstGeom prst="rect">
                      <a:avLst/>
                    </a:prstGeom>
                    <a:noFill/>
                    <a:ln>
                      <a:noFill/>
                    </a:ln>
                  </pic:spPr>
                </pic:pic>
              </a:graphicData>
            </a:graphic>
          </wp:inline>
        </w:drawing>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מתמונות אלה לא עולה שימוש בסימן המסחר של המבקשים (גם לא על ידיהם), ולא ניתן ללמוד על העתקה.</w:t>
      </w:r>
    </w:p>
    <w:p w:rsidR="00FC11E6" w:rsidRDefault="00FC11E6" w:rsidP="00FC11E6">
      <w:pPr>
        <w:pStyle w:val="ad"/>
        <w:spacing w:after="0" w:line="36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lastRenderedPageBreak/>
        <w:t xml:space="preserve">בדוגמא נוספת שהביאו המבקשים לגבי חולצות עולה שימוש נפרד בין </w:t>
      </w:r>
      <w:r>
        <w:rPr>
          <w:rFonts w:ascii="David" w:hAnsi="David" w:cs="David"/>
        </w:rPr>
        <w:t xml:space="preserve">ICON MILANO </w:t>
      </w:r>
      <w:r>
        <w:rPr>
          <w:rFonts w:ascii="David" w:hAnsi="David" w:cs="David"/>
          <w:rtl/>
        </w:rPr>
        <w:t xml:space="preserve"> ל</w:t>
      </w:r>
      <w:r>
        <w:rPr>
          <w:rFonts w:ascii="David" w:hAnsi="David" w:cs="David"/>
        </w:rPr>
        <w:t xml:space="preserve"> ICON PARIS</w:t>
      </w:r>
      <w:r>
        <w:rPr>
          <w:rFonts w:ascii="David" w:hAnsi="David" w:cs="David"/>
          <w:sz w:val="24"/>
          <w:szCs w:val="24"/>
          <w:rtl/>
        </w:rPr>
        <w:t>. גם הפונט בו נעשה שימוש שונה. עם זאת העיצוב בעל סממנים דומים:</w:t>
      </w:r>
    </w:p>
    <w:p w:rsidR="00FC11E6" w:rsidRDefault="00FC11E6" w:rsidP="00FC11E6">
      <w:pPr>
        <w:pStyle w:val="ad"/>
        <w:spacing w:after="0" w:line="360" w:lineRule="auto"/>
        <w:rPr>
          <w:rFonts w:ascii="David" w:hAnsi="David" w:cs="David"/>
          <w:sz w:val="24"/>
          <w:szCs w:val="24"/>
          <w:rtl/>
        </w:rPr>
      </w:pPr>
      <w:r>
        <w:rPr>
          <w:rFonts w:ascii="David" w:hAnsi="David" w:cs="David"/>
          <w:noProof/>
          <w:sz w:val="24"/>
          <w:szCs w:val="24"/>
        </w:rPr>
        <w:drawing>
          <wp:inline distT="0" distB="0" distL="0" distR="0">
            <wp:extent cx="3848735" cy="2313940"/>
            <wp:effectExtent l="0" t="0" r="0"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8735" cy="2313940"/>
                    </a:xfrm>
                    <a:prstGeom prst="rect">
                      <a:avLst/>
                    </a:prstGeom>
                    <a:noFill/>
                    <a:ln>
                      <a:noFill/>
                    </a:ln>
                  </pic:spPr>
                </pic:pic>
              </a:graphicData>
            </a:graphic>
          </wp:inline>
        </w:drawing>
      </w: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כל אלה הן דוגמאות חלקיות בלבד. </w:t>
      </w:r>
    </w:p>
    <w:p w:rsidR="00FC11E6" w:rsidRDefault="00FC11E6" w:rsidP="00FC11E6">
      <w:pPr>
        <w:pStyle w:val="ad"/>
        <w:spacing w:after="0" w:line="36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למרות שאפשרתי לשני הצדדים לצרף את קטלוג החורף, לא היה במה שצורף על מנת לשנות מהראיות שכבר צורפו.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בדיון הובאו שני מוצרים להשוואה שנקנו יום לפני בחנות בעפולה. לטענת המבקשים, הסחורה צמודה והלקוחות מתבלבלים בין שני המוצרים. לטענת המשיבים, בחינת המוצרים מעלה כי אדם סביר שמסתכל על שני המוצרים לא יתבלבל ולא יחשוב שמדובר באותו מותג. לטענתם המימדים שונים, הטקסטורה שונה, השימוש בחומרים שונה, ואי אפשר לומר שמדובר באותו מוצר.</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המבקשים לא צירפו טבלה מסודרת ממנה ניתן יהיה ללמוד את ההשוואה לגבי העיצובים השונים, הגדרת מוצר מסויים (שניתן יהיה להבחין בין מוצר למוצר) ומה מהות ההפרה לגבי כל אחד מהם. בהעדר השוואה מסודרת וברורה יש קושי אינהרנטי במתן הצו כפי שהתבקש, גם אם הייתי נכונה להעניקו לגבי חלק מהמוצרים.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המשיבים הביאו בתשובתם לסעד הזמני וכן בהגשת הקטלוג על ידם השוואה בין דגמי </w:t>
      </w:r>
      <w:r>
        <w:rPr>
          <w:rFonts w:ascii="David" w:hAnsi="David" w:cs="David"/>
          <w:sz w:val="24"/>
          <w:szCs w:val="24"/>
        </w:rPr>
        <w:t xml:space="preserve">ICON MILANO </w:t>
      </w:r>
      <w:r>
        <w:rPr>
          <w:rFonts w:ascii="David" w:hAnsi="David" w:cs="David"/>
          <w:sz w:val="24"/>
          <w:szCs w:val="24"/>
          <w:rtl/>
        </w:rPr>
        <w:t xml:space="preserve"> לבין דגמים של מותג זר אחר (פרטיו הוסרו לצורכי בקשה זו מאחר והם לא ממין העניין). לשיטת המשיבים השוואה זו מעלה כי המבקשים הם שהעתיקו ממותג בינלאומי ידוע ובעל שם את העיצובים ועל כן אינם יכולים לטעון להגנה:</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spacing w:line="360" w:lineRule="auto"/>
        <w:ind w:left="567"/>
        <w:jc w:val="both"/>
        <w:rPr>
          <w:rFonts w:ascii="David" w:hAnsi="David"/>
        </w:rPr>
      </w:pPr>
      <w:r>
        <w:rPr>
          <w:rFonts w:ascii="David" w:hAnsi="David"/>
        </w:rPr>
        <w:drawing>
          <wp:inline distT="0" distB="0" distL="0" distR="0">
            <wp:extent cx="2720762" cy="1621984"/>
            <wp:effectExtent l="0" t="0" r="3810"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4961" cy="1630449"/>
                    </a:xfrm>
                    <a:prstGeom prst="rect">
                      <a:avLst/>
                    </a:prstGeom>
                    <a:noFill/>
                    <a:ln>
                      <a:noFill/>
                    </a:ln>
                  </pic:spPr>
                </pic:pic>
              </a:graphicData>
            </a:graphic>
          </wp:inline>
        </w:drawing>
      </w:r>
      <w:r>
        <w:rPr>
          <w:rFonts w:ascii="David" w:hAnsi="David"/>
          <w:rtl/>
        </w:rPr>
        <w:t xml:space="preserve"> </w:t>
      </w:r>
    </w:p>
    <w:p w:rsidR="00FC11E6" w:rsidRDefault="00FC11E6" w:rsidP="00FC11E6">
      <w:pPr>
        <w:spacing w:line="360" w:lineRule="auto"/>
        <w:ind w:left="360"/>
        <w:jc w:val="both"/>
        <w:rPr>
          <w:rFonts w:ascii="David" w:hAnsi="David"/>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דוגמאות נוספות (נספח 11):</w:t>
      </w:r>
    </w:p>
    <w:p w:rsidR="00FC11E6" w:rsidRDefault="00FC11E6" w:rsidP="00FC11E6">
      <w:pPr>
        <w:spacing w:line="360" w:lineRule="auto"/>
        <w:ind w:left="567"/>
        <w:jc w:val="both"/>
        <w:rPr>
          <w:rFonts w:ascii="David" w:hAnsi="David"/>
          <w:rtl/>
        </w:rPr>
      </w:pPr>
      <w:r>
        <w:rPr>
          <w:rFonts w:ascii="David" w:hAnsi="David"/>
        </w:rPr>
        <w:drawing>
          <wp:inline distT="0" distB="0" distL="0" distR="0">
            <wp:extent cx="2544506" cy="2059416"/>
            <wp:effectExtent l="0" t="0" r="8255"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60052" cy="2071999"/>
                    </a:xfrm>
                    <a:prstGeom prst="rect">
                      <a:avLst/>
                    </a:prstGeom>
                    <a:noFill/>
                    <a:ln>
                      <a:noFill/>
                    </a:ln>
                  </pic:spPr>
                </pic:pic>
              </a:graphicData>
            </a:graphic>
          </wp:inline>
        </w:drawing>
      </w:r>
    </w:p>
    <w:p w:rsidR="00FC11E6" w:rsidRDefault="00FC11E6" w:rsidP="00FC11E6">
      <w:pPr>
        <w:spacing w:line="360" w:lineRule="auto"/>
        <w:ind w:left="360"/>
        <w:jc w:val="both"/>
        <w:rPr>
          <w:rFonts w:ascii="David" w:hAnsi="David"/>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ועוד:</w:t>
      </w:r>
    </w:p>
    <w:p w:rsidR="00FC11E6" w:rsidRDefault="00FC11E6" w:rsidP="00FC11E6">
      <w:pPr>
        <w:spacing w:line="360" w:lineRule="auto"/>
        <w:ind w:left="567"/>
        <w:jc w:val="both"/>
        <w:rPr>
          <w:rFonts w:ascii="David" w:hAnsi="David"/>
          <w:rtl/>
        </w:rPr>
      </w:pPr>
      <w:r>
        <w:rPr>
          <w:rFonts w:ascii="David" w:hAnsi="David"/>
        </w:rPr>
        <w:drawing>
          <wp:inline distT="0" distB="0" distL="0" distR="0">
            <wp:extent cx="2653052" cy="1892383"/>
            <wp:effectExtent l="0" t="0" r="0"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8726" cy="1896430"/>
                    </a:xfrm>
                    <a:prstGeom prst="rect">
                      <a:avLst/>
                    </a:prstGeom>
                    <a:noFill/>
                    <a:ln>
                      <a:noFill/>
                    </a:ln>
                  </pic:spPr>
                </pic:pic>
              </a:graphicData>
            </a:graphic>
          </wp:inline>
        </w:drawing>
      </w:r>
    </w:p>
    <w:p w:rsidR="00622CAA" w:rsidRPr="00622CAA" w:rsidRDefault="00622CAA" w:rsidP="00622CAA">
      <w:pPr>
        <w:pStyle w:val="ad"/>
        <w:spacing w:after="0" w:line="360" w:lineRule="auto"/>
        <w:ind w:left="567"/>
        <w:jc w:val="both"/>
        <w:rPr>
          <w:rFonts w:ascii="David" w:hAnsi="David" w:cs="David"/>
          <w:sz w:val="24"/>
          <w:szCs w:val="24"/>
          <w:u w:val="single"/>
        </w:rPr>
      </w:pPr>
    </w:p>
    <w:p w:rsidR="00FC11E6" w:rsidRDefault="00FC11E6" w:rsidP="00FC11E6">
      <w:pPr>
        <w:pStyle w:val="ad"/>
        <w:numPr>
          <w:ilvl w:val="0"/>
          <w:numId w:val="2"/>
        </w:numPr>
        <w:spacing w:after="0" w:line="360" w:lineRule="auto"/>
        <w:ind w:left="567" w:hanging="567"/>
        <w:jc w:val="both"/>
        <w:rPr>
          <w:rFonts w:ascii="David" w:hAnsi="David" w:cs="David"/>
          <w:sz w:val="24"/>
          <w:szCs w:val="24"/>
          <w:u w:val="single"/>
        </w:rPr>
      </w:pPr>
      <w:r>
        <w:rPr>
          <w:rFonts w:ascii="David" w:hAnsi="David" w:cs="David"/>
          <w:sz w:val="24"/>
          <w:szCs w:val="24"/>
          <w:rtl/>
        </w:rPr>
        <w:lastRenderedPageBreak/>
        <w:t xml:space="preserve">בקטלוג שהגישו המשיבים לאחר הדיון צירפו עוד דוגמאות מהן עולה דימיון כפי שטענו בין מוצרי </w:t>
      </w:r>
      <w:r>
        <w:rPr>
          <w:rFonts w:ascii="David" w:hAnsi="David" w:cs="David"/>
          <w:sz w:val="24"/>
          <w:szCs w:val="24"/>
        </w:rPr>
        <w:t xml:space="preserve">ICON MILANO </w:t>
      </w:r>
      <w:r>
        <w:rPr>
          <w:rFonts w:ascii="David" w:hAnsi="David" w:cs="David"/>
          <w:sz w:val="24"/>
          <w:szCs w:val="24"/>
          <w:rtl/>
        </w:rPr>
        <w:t xml:space="preserve"> למוצרי המותג האחר. אולם בין כך ובין כך – איני נדרשת בשלב הזה ובמסגרת הסעד הזמני להכרעה לגבי מעמדו של אותו צד שלישי שאינו חלק מההליכים. ממילא וכפי שהובהר למשיבים גם בדיון טענה זו אינה טענת הגנה מספקת שעה שאין מחלוקת שהיא לא נשמעת מפי בעל הזכויות עצמו. עם זאת יש בדוגמא זו על מנת להראות כי לכל הפחות המבקשים אינם "שחקן בודד" בשוק. ויש בעניין זה על מנת להשפיע על סוגיית ההיעתרות לסעד הזמני.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לאחר בחינת כלל הראיות שהוצגו על ידי שני הצדדים וגם כאשר לקחתי בחשבון כי חוג הלקוחות הינו זהה וכי יש דמיון מסויים בין המוצרים בנסיבות העניין לא שוכנעתי כי די בכך על מנת ליתן את הצו. </w:t>
      </w:r>
    </w:p>
    <w:p w:rsidR="00FC11E6" w:rsidRDefault="00FC11E6" w:rsidP="00FC11E6">
      <w:pPr>
        <w:pStyle w:val="ad"/>
        <w:spacing w:after="0" w:line="360" w:lineRule="auto"/>
        <w:ind w:left="567"/>
        <w:jc w:val="both"/>
        <w:rPr>
          <w:rFonts w:ascii="David" w:hAnsi="David" w:cs="David"/>
          <w:sz w:val="24"/>
          <w:szCs w:val="24"/>
          <w:u w:val="single"/>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אשר על כן ולאחר כל זאת לא מצאתי כי המבקשים עומדים ברף הנדרש לסעד הזמני להוכחת הפרה, ומבלי לקבוע מסמרות להליך העיקרי בו יינתן לשני הצדדים יומם בבחינת ובהוכחת טענותיהם. ויודגש כפי שגם צויין ב</w:t>
      </w:r>
      <w:r>
        <w:rPr>
          <w:rFonts w:ascii="Miriam" w:hAnsi="Miriam" w:cs="Miriam"/>
          <w:sz w:val="24"/>
          <w:szCs w:val="24"/>
          <w:rtl/>
        </w:rPr>
        <w:t>עניין אדידס</w:t>
      </w:r>
      <w:r>
        <w:rPr>
          <w:rFonts w:ascii="David" w:hAnsi="David" w:cs="David"/>
          <w:sz w:val="24"/>
          <w:szCs w:val="24"/>
          <w:rtl/>
        </w:rPr>
        <w:t xml:space="preserve">  הקביעה לצורכי הסעד הזמני כי לא הוכחה הטעיה אין משמעותה כי לא קיים כל דמיון בין מוצרי המשיבים למוצרי המבקשים אלא כי על פי שיקולי המדיניות שיש ליישם במקרה זה מדובר בדמיון </w:t>
      </w:r>
      <w:r>
        <w:rPr>
          <w:rFonts w:ascii="David" w:hAnsi="David" w:cs="David"/>
          <w:sz w:val="24"/>
          <w:szCs w:val="24"/>
          <w:u w:val="single"/>
          <w:rtl/>
        </w:rPr>
        <w:t>שאינו</w:t>
      </w:r>
      <w:r>
        <w:rPr>
          <w:rFonts w:ascii="David" w:hAnsi="David" w:cs="David"/>
          <w:sz w:val="24"/>
          <w:szCs w:val="24"/>
          <w:rtl/>
        </w:rPr>
        <w:t xml:space="preserve"> מהווה הפרה של סימן המסחר (ראו: </w:t>
      </w:r>
      <w:r>
        <w:rPr>
          <w:rFonts w:ascii="Miriam" w:hAnsi="Miriam" w:cs="Miriam"/>
          <w:sz w:val="24"/>
          <w:szCs w:val="24"/>
          <w:rtl/>
        </w:rPr>
        <w:t>עניין אדידס</w:t>
      </w:r>
      <w:r>
        <w:rPr>
          <w:rFonts w:ascii="David" w:hAnsi="David" w:cs="David"/>
          <w:sz w:val="24"/>
          <w:szCs w:val="24"/>
          <w:rtl/>
        </w:rPr>
        <w:t>, עמ' 802-803).</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הפסיקה קבעה כי יש להיזהר שלא להרחיב יתר על המידה את ההגנה על סימני המסחר: </w:t>
      </w:r>
    </w:p>
    <w:p w:rsidR="00FC11E6" w:rsidRDefault="00FC11E6" w:rsidP="00FC11E6">
      <w:pPr>
        <w:spacing w:line="360" w:lineRule="auto"/>
        <w:ind w:left="567"/>
        <w:jc w:val="both"/>
        <w:rPr>
          <w:rFonts w:cs="FrankRuehl"/>
          <w:b/>
          <w:bCs/>
          <w:spacing w:val="10"/>
        </w:rPr>
      </w:pPr>
      <w:r>
        <w:rPr>
          <w:rFonts w:cs="FrankRuehl"/>
          <w:b/>
          <w:bCs/>
          <w:spacing w:val="10"/>
          <w:rtl/>
        </w:rPr>
        <w:t>"יש להיזהר שלא להרחיב יתר על המידה את ההגנה הניתנת לסימני מסחר, כך שהיא תתפשט על כל מוטיב או מצג רעיוני בהם נעשה שימוש בגדר סימן המסחר. המבחן הוא האם הדמיון הרעיוני או הקשר האסוציאטיבי מקימים חשש כי הצרכן יסבור שמקורם של שני הסימנים אחד הוא. ההכרעה בשאלה זו צריכה להיעשות תוך הסתייעות, בין היתר, במבחנים המוכרים לנו מן המבחן המשולש, כגון חוג הלקוחות בו מדובר ויתר נסיבות העניין."</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ראו: רע"א 6658/09 </w:t>
      </w:r>
      <w:r>
        <w:rPr>
          <w:rFonts w:ascii="Miriam" w:hAnsi="Miriam" w:cs="Miriam"/>
          <w:sz w:val="24"/>
          <w:szCs w:val="24"/>
          <w:rtl/>
        </w:rPr>
        <w:t>מולטילוק בע"מ נ' רב בריח (08) תעשיות בע"מ</w:t>
      </w:r>
      <w:r>
        <w:rPr>
          <w:rFonts w:ascii="David" w:hAnsi="David" w:cs="David"/>
          <w:sz w:val="24"/>
          <w:szCs w:val="24"/>
          <w:rtl/>
        </w:rPr>
        <w:t xml:space="preserve"> (נבו, 12.10.2010), פסקה 9 לפסק הדין. </w:t>
      </w:r>
    </w:p>
    <w:p w:rsidR="00FC11E6" w:rsidRDefault="00FC11E6" w:rsidP="00FC11E6">
      <w:pPr>
        <w:pStyle w:val="ad"/>
        <w:rPr>
          <w:rFonts w:ascii="David" w:hAnsi="David" w:cs="David"/>
          <w:sz w:val="24"/>
          <w:szCs w:val="24"/>
          <w:u w:val="single"/>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u w:val="single"/>
          <w:rtl/>
        </w:rPr>
        <w:t xml:space="preserve">תמלולים - </w:t>
      </w:r>
      <w:r>
        <w:rPr>
          <w:rFonts w:ascii="David" w:hAnsi="David" w:cs="David"/>
          <w:sz w:val="24"/>
          <w:szCs w:val="24"/>
          <w:rtl/>
        </w:rPr>
        <w:t xml:space="preserve"> בתמלול שצורף בנספח 8 לבקשה בשיחה בין המבקש למשיב ביום 4.7.2024 נאמר בין היתר על ידי המשיב: "</w:t>
      </w:r>
      <w:r>
        <w:rPr>
          <w:rFonts w:ascii="David" w:hAnsi="David" w:cs="David"/>
          <w:b/>
          <w:bCs/>
          <w:sz w:val="24"/>
          <w:szCs w:val="24"/>
          <w:rtl/>
        </w:rPr>
        <w:t>אני אדאג לתת הוראה בשוק שאתה תראה שגם לקוח אחד לא ייכנס אליכם</w:t>
      </w:r>
      <w:r>
        <w:rPr>
          <w:rFonts w:ascii="David" w:hAnsi="David" w:cs="David"/>
          <w:sz w:val="24"/>
          <w:szCs w:val="24"/>
          <w:rtl/>
        </w:rPr>
        <w:t xml:space="preserve">". אולם מדובר בתמלולים חלקיים בלבד. לטענת המשיבים לו היו מצורפים כל התמלולים היה מתברר לבימ"ש ההקשר המתאים, וכן כי גם המבקש לא היסס להשמיע </w:t>
      </w:r>
      <w:r>
        <w:rPr>
          <w:rFonts w:ascii="David" w:hAnsi="David" w:cs="David"/>
          <w:sz w:val="24"/>
          <w:szCs w:val="24"/>
          <w:rtl/>
        </w:rPr>
        <w:lastRenderedPageBreak/>
        <w:t xml:space="preserve">משפטים דומים כלפי המשיב. על כן סברתי כי בעת הזו לצורך הסעד הזמני אין בתמלולים ראיה מכרעת לטובת מי מהצדדים.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u w:val="single"/>
          <w:rtl/>
        </w:rPr>
      </w:pPr>
      <w:r>
        <w:rPr>
          <w:rFonts w:ascii="David" w:hAnsi="David" w:cs="David"/>
          <w:sz w:val="24"/>
          <w:szCs w:val="24"/>
          <w:u w:val="single"/>
          <w:rtl/>
        </w:rPr>
        <w:t xml:space="preserve">גניבת עין - </w:t>
      </w:r>
      <w:r>
        <w:rPr>
          <w:rFonts w:ascii="David" w:hAnsi="David" w:cs="David"/>
          <w:sz w:val="24"/>
          <w:szCs w:val="24"/>
          <w:rtl/>
        </w:rPr>
        <w:t>לצורך גניבת עין יש להוכיח על פי הפסיקה שני יסודות: מוניטין וחשש מפני הטעיה:</w:t>
      </w:r>
    </w:p>
    <w:p w:rsidR="00FC11E6" w:rsidRDefault="00FC11E6" w:rsidP="00FC11E6">
      <w:pPr>
        <w:spacing w:line="360" w:lineRule="auto"/>
        <w:ind w:left="567"/>
        <w:jc w:val="both"/>
        <w:rPr>
          <w:rFonts w:ascii="David" w:hAnsi="David"/>
          <w:u w:val="single"/>
        </w:rPr>
      </w:pPr>
      <w:r>
        <w:rPr>
          <w:rFonts w:cs="FrankRuehl"/>
          <w:b/>
          <w:bCs/>
          <w:spacing w:val="10"/>
          <w:rtl/>
        </w:rPr>
        <w:t>"לעוולת גניבת העין שני יסודות, שהוכחתם מוטלת על הטוען לביצוע העוולה כלפיו:</w:t>
      </w:r>
      <w:r>
        <w:rPr>
          <w:rFonts w:cs="FrankRuehl"/>
          <w:spacing w:val="10"/>
          <w:rtl/>
        </w:rPr>
        <w:t xml:space="preserve"> </w:t>
      </w:r>
      <w:r>
        <w:rPr>
          <w:rFonts w:cs="Miriam"/>
          <w:rtl/>
        </w:rPr>
        <w:t>מוניטין</w:t>
      </w:r>
      <w:r>
        <w:rPr>
          <w:rFonts w:cs="FrankRuehl"/>
          <w:spacing w:val="10"/>
          <w:rtl/>
        </w:rPr>
        <w:t xml:space="preserve"> </w:t>
      </w:r>
      <w:r>
        <w:rPr>
          <w:rFonts w:cs="FrankRuehl"/>
          <w:b/>
          <w:bCs/>
          <w:spacing w:val="10"/>
          <w:rtl/>
        </w:rPr>
        <w:t>שרכש בנכס או בשירות שהוא מציע; ו-</w:t>
      </w:r>
      <w:r>
        <w:rPr>
          <w:rFonts w:cs="Miriam"/>
          <w:rtl/>
        </w:rPr>
        <w:t xml:space="preserve">חשש מפני הטעיה </w:t>
      </w:r>
      <w:r>
        <w:rPr>
          <w:rFonts w:cs="FrankRuehl"/>
          <w:b/>
          <w:bCs/>
          <w:spacing w:val="10"/>
          <w:rtl/>
        </w:rPr>
        <w:t>של הציבור לחשוב כי הנכס שמציע הנתבע שייך לתובע (עניין</w:t>
      </w:r>
      <w:r>
        <w:rPr>
          <w:rFonts w:cs="Miriam"/>
          <w:rtl/>
        </w:rPr>
        <w:t xml:space="preserve"> אווזי</w:t>
      </w:r>
      <w:r>
        <w:rPr>
          <w:rFonts w:cs="FrankRuehl"/>
          <w:b/>
          <w:bCs/>
          <w:spacing w:val="10"/>
          <w:rtl/>
        </w:rPr>
        <w:t>, פסקה 12; עניין</w:t>
      </w:r>
      <w:r>
        <w:rPr>
          <w:rFonts w:cs="Miriam"/>
          <w:rtl/>
        </w:rPr>
        <w:t xml:space="preserve"> משפחה</w:t>
      </w:r>
      <w:r>
        <w:rPr>
          <w:rFonts w:cs="FrankRuehl"/>
          <w:b/>
          <w:bCs/>
          <w:spacing w:val="10"/>
          <w:rtl/>
        </w:rPr>
        <w:t>, 942; עניין</w:t>
      </w:r>
      <w:r>
        <w:rPr>
          <w:rFonts w:cs="Miriam"/>
          <w:rtl/>
        </w:rPr>
        <w:t xml:space="preserve"> פניציה</w:t>
      </w:r>
      <w:r>
        <w:rPr>
          <w:rFonts w:cs="FrankRuehl"/>
          <w:spacing w:val="10"/>
          <w:rtl/>
        </w:rPr>
        <w:t xml:space="preserve">, </w:t>
      </w:r>
      <w:r>
        <w:rPr>
          <w:rFonts w:cs="FrankRuehl"/>
          <w:b/>
          <w:bCs/>
          <w:spacing w:val="10"/>
          <w:rtl/>
        </w:rPr>
        <w:t>232-233). דרישה זו להוכחת שני היסודות גם יחד, היא שמאזנת בין האינטרס הקנייני של הסוחר</w:t>
      </w:r>
      <w:r>
        <w:rPr>
          <w:rFonts w:cs="FrankRuehl" w:hint="cs"/>
          <w:b/>
          <w:bCs/>
          <w:spacing w:val="10"/>
        </w:rPr>
        <w:t xml:space="preserve"> </w:t>
      </w:r>
      <w:r>
        <w:rPr>
          <w:rFonts w:cs="FrankRuehl"/>
          <w:b/>
          <w:bCs/>
          <w:spacing w:val="10"/>
          <w:rtl/>
        </w:rPr>
        <w:t>ובין אינטרסים אחרים כגון חופש העיסוק של היצרנים המתחרים והרצון לעודד תחרות חופשית ולהימנע מיצירת מונופולים הפוגעים בשוק. על כן נפסק כי "הטעיה הנוגעת לנכס או לשירות שהתובע לא הוכיח כי קנה מוניטין לגביו - אינה נכנסת תחת עוולת גניבת העין... באופן דומה, העתקה של נכס בעל מוניטין אשר לא הוכח כי יש עמה חשש להטעיה - גם היא אינה מעניינה של העוולה (עניין</w:t>
      </w:r>
      <w:r>
        <w:rPr>
          <w:rFonts w:cs="FrankRuehl"/>
          <w:spacing w:val="10"/>
          <w:rtl/>
        </w:rPr>
        <w:t xml:space="preserve"> </w:t>
      </w:r>
      <w:r>
        <w:rPr>
          <w:rFonts w:cs="Miriam"/>
          <w:rtl/>
        </w:rPr>
        <w:t>יפרח</w:t>
      </w:r>
      <w:r>
        <w:rPr>
          <w:rFonts w:cs="FrankRuehl"/>
          <w:b/>
          <w:bCs/>
          <w:spacing w:val="10"/>
          <w:rtl/>
        </w:rPr>
        <w:t>, פסקה 8)."</w:t>
      </w:r>
    </w:p>
    <w:p w:rsidR="00FC11E6" w:rsidRDefault="00FC11E6" w:rsidP="00FC11E6">
      <w:pPr>
        <w:pStyle w:val="ad"/>
        <w:spacing w:after="0" w:line="360" w:lineRule="auto"/>
        <w:ind w:left="567"/>
        <w:jc w:val="both"/>
        <w:rPr>
          <w:rFonts w:ascii="David" w:hAnsi="David" w:cs="David"/>
          <w:sz w:val="24"/>
          <w:szCs w:val="24"/>
          <w:rtl/>
        </w:rPr>
      </w:pPr>
      <w:r>
        <w:rPr>
          <w:rFonts w:ascii="David" w:hAnsi="David" w:cs="David"/>
          <w:sz w:val="24"/>
          <w:szCs w:val="24"/>
          <w:rtl/>
        </w:rPr>
        <w:t xml:space="preserve">ראו: </w:t>
      </w:r>
      <w:r>
        <w:rPr>
          <w:rFonts w:ascii="Miriam" w:hAnsi="Miriam" w:cs="Miriam"/>
          <w:sz w:val="24"/>
          <w:szCs w:val="24"/>
          <w:rtl/>
        </w:rPr>
        <w:t>עניין אדידס</w:t>
      </w:r>
      <w:r>
        <w:rPr>
          <w:rFonts w:ascii="David" w:hAnsi="David" w:cs="David"/>
          <w:sz w:val="24"/>
          <w:szCs w:val="24"/>
          <w:rtl/>
        </w:rPr>
        <w:t>, עמ'</w:t>
      </w:r>
      <w:r>
        <w:rPr>
          <w:rFonts w:ascii="Miriam" w:hAnsi="Miriam" w:cs="Miriam"/>
          <w:rtl/>
        </w:rPr>
        <w:t xml:space="preserve"> </w:t>
      </w:r>
      <w:r>
        <w:rPr>
          <w:rFonts w:ascii="David" w:hAnsi="David" w:cs="David"/>
          <w:sz w:val="24"/>
          <w:szCs w:val="24"/>
          <w:rtl/>
        </w:rPr>
        <w:t>803.</w:t>
      </w:r>
    </w:p>
    <w:p w:rsidR="00FC11E6" w:rsidRDefault="00FC11E6" w:rsidP="00FC11E6">
      <w:pPr>
        <w:pStyle w:val="ad"/>
        <w:rPr>
          <w:rFonts w:ascii="David" w:hAnsi="David" w:cs="David"/>
          <w:sz w:val="24"/>
          <w:szCs w:val="24"/>
          <w:u w:val="single"/>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בענייננו מבלי לקבוע מסמרות להליך העיקרי לא עולה כי לצורך הסעד הזמני הצליחו המבקשים בעת הזו להוכיח את הרכיבים הנדרשים לגניבת עין. לשיטת המבקשים הם פעילים בשוק </w:t>
      </w:r>
      <w:r>
        <w:rPr>
          <w:rFonts w:ascii="David" w:hAnsi="David" w:cs="David"/>
          <w:sz w:val="24"/>
          <w:szCs w:val="24"/>
          <w:u w:val="single"/>
          <w:rtl/>
        </w:rPr>
        <w:t>משנת 2023</w:t>
      </w:r>
      <w:r>
        <w:rPr>
          <w:rFonts w:ascii="David" w:hAnsi="David" w:cs="David"/>
          <w:sz w:val="24"/>
          <w:szCs w:val="24"/>
          <w:rtl/>
        </w:rPr>
        <w:t>. סימן המסחר נרשם מלפני כשנה וחצי. כמו כן בדיון נאמר מפורשות כי מדובר ב"</w:t>
      </w:r>
      <w:r>
        <w:rPr>
          <w:rFonts w:ascii="David" w:hAnsi="David" w:cs="David"/>
          <w:b/>
          <w:bCs/>
          <w:sz w:val="24"/>
          <w:szCs w:val="24"/>
          <w:rtl/>
        </w:rPr>
        <w:t>חברה צעירה שעובדת על המיתוג שלה ויצרה לעצמה שם</w:t>
      </w:r>
      <w:r>
        <w:rPr>
          <w:rFonts w:ascii="David" w:hAnsi="David" w:cs="David"/>
          <w:sz w:val="24"/>
          <w:szCs w:val="24"/>
          <w:rtl/>
        </w:rPr>
        <w:t xml:space="preserve">" (ראו: פרוט' מיום 4.11.24 עמ' 4 שורות 1-2). בנסיבות הללו לא הוכיחו עדיין המבקשים את המיתוג הנדרש לצורך טענת "גניבת עין".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בכל הנוגע לחשש הטעיה – האמור לעיל לגבי הפרת סימן המסחר גם כאשר מופיעים אלמנטים דומים כוחו יפה גם לחלק זה.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עוד יצויין מבלי לקבוע מסמרות כי לשלב בו אנו מצויים לא הצליחו המבקשים להראות כי המונח </w:t>
      </w:r>
      <w:r>
        <w:rPr>
          <w:rFonts w:ascii="David" w:hAnsi="David" w:cs="David"/>
          <w:sz w:val="24"/>
          <w:szCs w:val="24"/>
        </w:rPr>
        <w:t xml:space="preserve">ICON MILANO </w:t>
      </w:r>
      <w:r>
        <w:rPr>
          <w:rFonts w:ascii="David" w:hAnsi="David" w:cs="David"/>
          <w:sz w:val="24"/>
          <w:szCs w:val="24"/>
          <w:rtl/>
        </w:rPr>
        <w:t xml:space="preserve">  שייך בתודעת הציבור לעסקם-שלהם. על המבקשים היה להוכיח "</w:t>
      </w:r>
      <w:r>
        <w:rPr>
          <w:rFonts w:ascii="Narkisim" w:hAnsi="Narkisim" w:cs="Narkisim"/>
          <w:b/>
          <w:bCs/>
          <w:sz w:val="24"/>
          <w:szCs w:val="24"/>
          <w:rtl/>
        </w:rPr>
        <w:t>ייחודיות שיש בו בשם, ייחודיות המשייכת עצמה לו ורק לו</w:t>
      </w:r>
      <w:r>
        <w:rPr>
          <w:rFonts w:ascii="David" w:hAnsi="David" w:cs="David"/>
          <w:sz w:val="24"/>
          <w:szCs w:val="24"/>
          <w:rtl/>
        </w:rPr>
        <w:t xml:space="preserve">" (ראו: ע"א 5792/99 </w:t>
      </w:r>
      <w:r>
        <w:rPr>
          <w:rFonts w:ascii="Miriam" w:hAnsi="Miriam" w:cs="Miriam"/>
          <w:sz w:val="24"/>
          <w:szCs w:val="24"/>
          <w:rtl/>
        </w:rPr>
        <w:t>תקשורת וחינוך דתי-יהודי משפחה (1997) בע"מ – עיתון "משפחה" נ' אס.בי.סי פרסום שיווק וקידום מכירות בע"מ – עיתון "משפחה טובה"</w:t>
      </w:r>
      <w:r>
        <w:rPr>
          <w:rFonts w:ascii="David" w:hAnsi="David" w:cs="David"/>
          <w:sz w:val="24"/>
          <w:szCs w:val="24"/>
          <w:rtl/>
        </w:rPr>
        <w:t>, פ"ד נה(3), 933 943).</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lastRenderedPageBreak/>
        <w:t xml:space="preserve">מעמדה של המבקשת - </w:t>
      </w:r>
      <w:r>
        <w:rPr>
          <w:rFonts w:ascii="David" w:hAnsi="David" w:cs="David"/>
          <w:sz w:val="24"/>
          <w:szCs w:val="24"/>
          <w:rtl/>
        </w:rPr>
        <w:t xml:space="preserve"> בנספח 4 לבקשה צורפה התעודה המעידה כי סימן המסחר הוא בבעלות המבקש. עד תום הדיון בבקשה לא הובהר מעמדה של המבקשת 4 ומה העילה ביחס אליה. לא די בהיותו של המבקש בעל המניות ומנכ"ל המבקשת. בדיון טען ב"כ המבקשים כי המבקשת משתמשת בסימן והיא זו שנפגעת כלכלית מההפרות. לטענת המבקש יש הסכם בינו לבין המבקשת. אולם המבקשים נמנעו מהצגת הסכם זה. על כן ומאחר ולא הוכחה זיקה משפטית של המבקשת להפרות הנטענות ולבעלות בסימן המסחר או בשימוש בו, אין עילה להגשת הבקשה לסעד זמני ביחס אליה. </w:t>
      </w:r>
    </w:p>
    <w:p w:rsidR="00FC11E6" w:rsidRDefault="00FC11E6" w:rsidP="00FC11E6">
      <w:pPr>
        <w:pStyle w:val="ad"/>
        <w:spacing w:after="0" w:line="360" w:lineRule="auto"/>
        <w:ind w:left="567"/>
        <w:jc w:val="both"/>
        <w:rPr>
          <w:rFonts w:ascii="David" w:hAnsi="David" w:cs="David"/>
          <w:sz w:val="24"/>
          <w:szCs w:val="24"/>
          <w:u w:val="single"/>
        </w:rPr>
      </w:pPr>
    </w:p>
    <w:p w:rsidR="00FC11E6" w:rsidRDefault="00FC11E6" w:rsidP="00FC11E6">
      <w:pPr>
        <w:pStyle w:val="ad"/>
        <w:numPr>
          <w:ilvl w:val="0"/>
          <w:numId w:val="2"/>
        </w:numPr>
        <w:spacing w:after="0" w:line="360" w:lineRule="auto"/>
        <w:ind w:left="567" w:hanging="567"/>
        <w:jc w:val="both"/>
        <w:rPr>
          <w:rFonts w:ascii="David" w:hAnsi="David" w:cs="David"/>
          <w:sz w:val="24"/>
          <w:szCs w:val="24"/>
          <w:u w:val="single"/>
        </w:rPr>
      </w:pPr>
      <w:r>
        <w:rPr>
          <w:rFonts w:ascii="David" w:hAnsi="David" w:cs="David"/>
          <w:sz w:val="24"/>
          <w:szCs w:val="24"/>
          <w:u w:val="single"/>
          <w:rtl/>
        </w:rPr>
        <w:t xml:space="preserve">מעמדם של משיבים 4-5 – </w:t>
      </w:r>
      <w:r>
        <w:rPr>
          <w:rFonts w:ascii="David" w:hAnsi="David" w:cs="David"/>
          <w:sz w:val="24"/>
          <w:szCs w:val="24"/>
          <w:rtl/>
        </w:rPr>
        <w:t>לאחר בחינת טענות הצדדים לא שוכנעתי לצורכי הסעד הזמני כי בוססה עילה לגבי המשיבים 4-5. לא הוכח בעת הזו ולצורך הסעד הזמני כי המשיבה 4 היא 'חברת קש' מאחוריה מסתתרים המשיבים 1-3 (כפי שנטען בבקשה). לא הוכח הקשר של המשיב 5 להפרות הנטענות ובאמצעות המשיבה 4. על כן הבקשה לסעד זמני לגביהם נדחית.</w:t>
      </w:r>
    </w:p>
    <w:p w:rsidR="00622CAA" w:rsidRPr="00622CAA" w:rsidRDefault="00622CAA" w:rsidP="00622CAA">
      <w:pPr>
        <w:pStyle w:val="ad"/>
        <w:rPr>
          <w:rFonts w:ascii="David" w:hAnsi="David" w:cs="David"/>
          <w:sz w:val="24"/>
          <w:szCs w:val="24"/>
          <w:u w:val="single"/>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t>שיהוי</w:t>
      </w:r>
      <w:r>
        <w:rPr>
          <w:rFonts w:ascii="David" w:hAnsi="David" w:cs="David"/>
          <w:sz w:val="24"/>
          <w:szCs w:val="24"/>
          <w:rtl/>
        </w:rPr>
        <w:t xml:space="preserve"> – התמלולים שצורפו לבקשה (נספחים 8-10) שבין היתר על בסיסם טוענים המבקשים כי קיימת דחיפות למתן הצו הם מיום 4.7.2024 ומיום 7.7.2024. בנספח 14 צורפו תמלולים מחודש 8/2024. בנספח 15 צורף דו"ח חוקר מיום 1.9.2024.</w:t>
      </w:r>
    </w:p>
    <w:p w:rsidR="00FC11E6" w:rsidRDefault="00FC11E6" w:rsidP="00FC11E6">
      <w:pPr>
        <w:pStyle w:val="ad"/>
        <w:spacing w:after="0" w:line="360" w:lineRule="auto"/>
        <w:ind w:left="567"/>
        <w:jc w:val="both"/>
        <w:rPr>
          <w:rFonts w:ascii="David" w:hAnsi="David" w:cs="David"/>
          <w:sz w:val="24"/>
          <w:szCs w:val="24"/>
        </w:rPr>
      </w:pPr>
      <w:r>
        <w:rPr>
          <w:rFonts w:ascii="David" w:hAnsi="David" w:cs="David"/>
          <w:sz w:val="24"/>
          <w:szCs w:val="24"/>
          <w:rtl/>
        </w:rPr>
        <w:t>הבקשה הוגשה ביום 6.10.2024.</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תקנה 95(ד)(3) לתקנות סדר הדין האזרחי קובעת כי יש לבחון "</w:t>
      </w:r>
      <w:r>
        <w:rPr>
          <w:rFonts w:ascii="Narkisim" w:hAnsi="Narkisim" w:cs="Narkisim"/>
          <w:b/>
          <w:bCs/>
          <w:sz w:val="24"/>
          <w:szCs w:val="24"/>
          <w:rtl/>
        </w:rPr>
        <w:t>האם המבקש לא השתהה יתר על המדיה בנסיבות העניין בהגשת כתב התביעה או בהגשת הבקשה לסעד הזמני</w:t>
      </w:r>
      <w:r>
        <w:rPr>
          <w:rFonts w:ascii="David" w:hAnsi="David" w:cs="David"/>
          <w:sz w:val="24"/>
          <w:szCs w:val="24"/>
          <w:rtl/>
        </w:rPr>
        <w:t xml:space="preserve">". בענייננו יש לבחון את השיהוי ביחס למועד בו התברר למבקשים על ההפרה הנטענת. בחינת הראיות שצורפו מעלה כי היה דין ודברים בין הצדדים, התברר גם שהצדדים היו בהליכי גישור (רק בדיון ולא מהבקשה), איסוף ראיות על ידי המבקשים (שיחות עם לקוחות, פניה לחנויות, דו"ח חוקר) – היו בחודשים 7-8/2024. הסעד הזמני הוגש רק ביום 6.10.24 עם הגשת התביעה. </w:t>
      </w:r>
    </w:p>
    <w:p w:rsidR="00FC11E6" w:rsidRDefault="00FC11E6" w:rsidP="00FC11E6">
      <w:pPr>
        <w:pStyle w:val="ad"/>
        <w:spacing w:after="0" w:line="360" w:lineRule="auto"/>
        <w:ind w:left="567"/>
        <w:jc w:val="both"/>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המבקשים הציגו את הבקשה כדחופה הדורשת מתן צו מניעה מיידי ומבלי לפרט ולנמק את באופן מספק סוגיית השיהוי. נושא המועדים לא קיבל את המענה המספק  בבקשה וגם לא ניתן היה להבינו לאשורו מהבקשה שנדונה במעמד צד אחד בתחילה. המבקשים טענו בדיון כי המשיבים לא הפיצו את כל הקולקציה, על כן אין שיהוי ביחס למוצרים שלא הופצו. אין בידי לקבל טענה זו. יש לבחון את כלל המסכת שהתבררה ולא רק סוגייה אחת. ויתרה מכך, אם בכוונת המבקשים היה למנוע את מכירת קולקציית החורף, היה עליהם להגיש את הבקשה עוד בחודשי הקיץ ולא להמתין לחודש אוקטובר. </w:t>
      </w: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lastRenderedPageBreak/>
        <w:t xml:space="preserve">מדובר בשיהוי משמעותי המצדיק לבדו את דחיית הבקשה לצו מניעה ושולל את הטענה בדבר דחיפות הסעד ובדבר החיוניות והצורך להענקתו (ראו: רע"א 38430-08-24 פסקה 10 והאיזכורים בו: רע"א 1450/20 </w:t>
      </w:r>
      <w:r>
        <w:rPr>
          <w:rFonts w:ascii="Miriam" w:hAnsi="Miriam" w:cs="Miriam"/>
          <w:sz w:val="24"/>
          <w:szCs w:val="24"/>
          <w:rtl/>
        </w:rPr>
        <w:t>פרילינג נ' ניר משה מושב עובדים להתיישבות חקלאית שיתופית בע"מ</w:t>
      </w:r>
      <w:r>
        <w:rPr>
          <w:rFonts w:ascii="David" w:hAnsi="David" w:cs="David"/>
          <w:sz w:val="24"/>
          <w:szCs w:val="24"/>
          <w:rtl/>
        </w:rPr>
        <w:t xml:space="preserve">, פסקה 16 (19.4.2020); רע"א 5915/24 </w:t>
      </w:r>
      <w:r>
        <w:rPr>
          <w:rFonts w:ascii="Miriam" w:hAnsi="Miriam" w:cs="Miriam"/>
          <w:sz w:val="24"/>
          <w:szCs w:val="24"/>
          <w:rtl/>
        </w:rPr>
        <w:t>פלד נ' אניעם מושב עובדים להתיישבות חקלאית שיתופית בע"מ</w:t>
      </w:r>
      <w:r>
        <w:rPr>
          <w:rFonts w:ascii="David" w:hAnsi="David" w:cs="David"/>
          <w:sz w:val="24"/>
          <w:szCs w:val="24"/>
          <w:rtl/>
        </w:rPr>
        <w:t>, פסקה 17 (12.8.2024)).</w:t>
      </w:r>
    </w:p>
    <w:p w:rsidR="00FC11E6" w:rsidRDefault="00FC11E6" w:rsidP="00FC11E6">
      <w:pPr>
        <w:pStyle w:val="ad"/>
        <w:rPr>
          <w:rFonts w:ascii="David" w:hAnsi="David" w:cs="David"/>
          <w:b/>
          <w:bCs/>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b/>
          <w:bCs/>
          <w:sz w:val="24"/>
          <w:szCs w:val="24"/>
        </w:rPr>
      </w:pPr>
      <w:r>
        <w:rPr>
          <w:rFonts w:ascii="David" w:hAnsi="David" w:cs="David"/>
          <w:b/>
          <w:bCs/>
          <w:sz w:val="24"/>
          <w:szCs w:val="24"/>
          <w:rtl/>
        </w:rPr>
        <w:t xml:space="preserve">אשר על כן וגם בשל קיומו של שיהוי יש מקום להורות על דחיית הבקשה. </w:t>
      </w:r>
    </w:p>
    <w:p w:rsidR="00FC11E6" w:rsidRDefault="00FC11E6" w:rsidP="00FC11E6">
      <w:pPr>
        <w:pStyle w:val="ad"/>
        <w:spacing w:after="0" w:line="360" w:lineRule="auto"/>
        <w:ind w:left="567"/>
        <w:jc w:val="both"/>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t>תום לב</w:t>
      </w:r>
      <w:r>
        <w:rPr>
          <w:rFonts w:ascii="David" w:hAnsi="David" w:cs="David"/>
          <w:sz w:val="24"/>
          <w:szCs w:val="24"/>
          <w:rtl/>
        </w:rPr>
        <w:t xml:space="preserve"> – בכל הנוגע לתום הלב הנדרש בבקשה לצו מניעה, לאחר בחינת טענות הצדדים בכתב ובעל פה ובחינת ראיותיהם, המבקשים לא עמדו בפירוט המלא והנדרש בבקשה לצו מניעה במעמד צד אחד. </w:t>
      </w:r>
    </w:p>
    <w:p w:rsidR="00FC11E6" w:rsidRDefault="00FC11E6" w:rsidP="00FC11E6">
      <w:pPr>
        <w:pStyle w:val="ad"/>
        <w:spacing w:after="0" w:line="36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המבקשים לא פירטו עד תום מה היה הדין ודברים בין הצדדים בחודשים שקדמו לבקשה. הם אמנם צירפו תמלולים שתמכו בבקשתם אולם מדובר </w:t>
      </w:r>
      <w:r>
        <w:rPr>
          <w:rFonts w:ascii="David" w:hAnsi="David" w:cs="David"/>
          <w:sz w:val="24"/>
          <w:szCs w:val="24"/>
          <w:u w:val="single"/>
          <w:rtl/>
        </w:rPr>
        <w:t>בחלקי</w:t>
      </w:r>
      <w:r>
        <w:rPr>
          <w:rFonts w:ascii="David" w:hAnsi="David" w:cs="David"/>
          <w:sz w:val="24"/>
          <w:szCs w:val="24"/>
          <w:rtl/>
        </w:rPr>
        <w:t xml:space="preserve"> שיחות, והמבקשים נמנעו מלפרט את כל דין הדברים שהיה בין הצדדים שיש בו להאיר באופן אחר הן את הסכסוך והן את הדחיפות והצורך להיעתר לבקשה לסעדים זמניים. כמו כן רק בדיון התברר כי הצדדים היו בגישור. עובדה זו הינה רלוונטית מאוד להכרעה בבקשה גם בשאלת השיהוי וגם בשאלת תום הלב והמבקשים נמנעו מלציין זאת בבקשה.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כמו כן המבקשים לא פירטו עד תום ובצורה מלאה את הסכסוך שבין אלמוג למשיבות. דבר שגם בו יש להאיר את הסכסוך בין הצדדים באופן שונה ובאספקלריה של סכסוך עסקי בין מתחרים ולא בהפרה של צד אחד את זכויות הצד השני. זאת עוד מבלי להכריע בעת הזו לגבי פעולות נטענות של אלמוג כנגד המשיבים, כפי שפירטו המשיבים בתשובתם. </w:t>
      </w:r>
    </w:p>
    <w:p w:rsidR="00FC11E6" w:rsidRDefault="00FC11E6" w:rsidP="00FC11E6">
      <w:pPr>
        <w:pStyle w:val="ad"/>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b/>
          <w:bCs/>
          <w:sz w:val="24"/>
          <w:szCs w:val="24"/>
        </w:rPr>
      </w:pPr>
      <w:r>
        <w:rPr>
          <w:rFonts w:ascii="David" w:hAnsi="David" w:cs="David"/>
          <w:b/>
          <w:bCs/>
          <w:sz w:val="24"/>
          <w:szCs w:val="24"/>
          <w:rtl/>
        </w:rPr>
        <w:t xml:space="preserve">העולה מכך כי המבקשים לא עמדו בחובת תום הלב וכנגזרת ממנה חובת הגילוי הנדרשת בדיון בסעד הזמני (תקנה 95(ד)(3) לתקנות סדר הדין האזרחי). </w:t>
      </w:r>
    </w:p>
    <w:p w:rsidR="00FC11E6" w:rsidRDefault="00FC11E6" w:rsidP="00FC11E6">
      <w:pPr>
        <w:pStyle w:val="ad"/>
        <w:spacing w:after="0" w:line="36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t>מאזן נוחות ונזקים</w:t>
      </w:r>
      <w:r>
        <w:rPr>
          <w:rFonts w:ascii="David" w:hAnsi="David" w:cs="David"/>
          <w:sz w:val="24"/>
          <w:szCs w:val="24"/>
          <w:rtl/>
        </w:rPr>
        <w:t xml:space="preserve"> – </w:t>
      </w:r>
      <w:r>
        <w:rPr>
          <w:rFonts w:ascii="David" w:hAnsi="David" w:cs="David"/>
          <w:b/>
          <w:bCs/>
          <w:sz w:val="24"/>
          <w:szCs w:val="24"/>
          <w:rtl/>
        </w:rPr>
        <w:t>לטענת המבקשים</w:t>
      </w:r>
      <w:r>
        <w:rPr>
          <w:rFonts w:ascii="David" w:hAnsi="David" w:cs="David"/>
          <w:sz w:val="24"/>
          <w:szCs w:val="24"/>
          <w:rtl/>
        </w:rPr>
        <w:t xml:space="preserve">, מאזן הנוחות נוטה לטובתם לאור פגיעה בזכויותיהם ופגיעה בסימן המסחר הרשום. לטענתם הנזק שייגרם למשיבים בטל בשישים לעומת הנזק שייגרם להם לו תמשך פעילות המשיבים ולא ניתן יהיה להשיב את הגלגל אחורה (סעיף 74-75 לבקשה). כמו כן טענו כי הנזק שנגרם להם נובע גם מהחזרת סחורות והפסדי מלאים. </w:t>
      </w:r>
    </w:p>
    <w:p w:rsidR="00FC11E6" w:rsidRDefault="00FC11E6" w:rsidP="00FC11E6">
      <w:pPr>
        <w:pStyle w:val="ad"/>
        <w:rPr>
          <w:rFonts w:ascii="David" w:hAnsi="David" w:cs="David"/>
          <w:b/>
          <w:bCs/>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b/>
          <w:bCs/>
          <w:sz w:val="24"/>
          <w:szCs w:val="24"/>
          <w:rtl/>
        </w:rPr>
        <w:lastRenderedPageBreak/>
        <w:t>לטענת המשיבים</w:t>
      </w:r>
      <w:r>
        <w:rPr>
          <w:rFonts w:ascii="David" w:hAnsi="David" w:cs="David"/>
          <w:sz w:val="24"/>
          <w:szCs w:val="24"/>
          <w:rtl/>
        </w:rPr>
        <w:t xml:space="preserve">, שילוב כלל טענותיהם מעלה כי יש לדחות את הבקשה והנזק שייגרם להם ככל ויינתן הצו עולה שבעתיים על הנזק שייגרם למבקשים ככל ולא יינתן, בפרט כאשר המבקשים ידעו על הקולקציה מזה זמן רב ובחרו להשתהות בהגשת הבקשה.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יצויין כי המבקשים לא הביאו כל ראיה או נתונים לגבי החזרי סחורות או הפסדי מלאים.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בכל הנוגע למאזן נוחות ונזקים במקרים דומים של קניין רוחני נקבע בפסיקה כי יש להוכיח טענה לפגיעה תדמיתית וכי ניתן לפצות בפיצוי כספי בסוף ההליך ואין מדובר בנזקים בלתי הפיכים: </w:t>
      </w:r>
    </w:p>
    <w:p w:rsidR="00FC11E6" w:rsidRDefault="00FC11E6" w:rsidP="00FC11E6">
      <w:pPr>
        <w:pStyle w:val="Ruller4"/>
        <w:numPr>
          <w:ilvl w:val="0"/>
          <w:numId w:val="0"/>
        </w:numPr>
        <w:ind w:left="567"/>
      </w:pPr>
      <w:r>
        <w:rPr>
          <w:rFonts w:ascii="Times New Roman" w:hAnsi="Times New Roman"/>
          <w:b/>
          <w:bCs/>
          <w:noProof/>
          <w:szCs w:val="24"/>
          <w:rtl/>
        </w:rPr>
        <w:t xml:space="preserve">"בעניין מאזן הנוחות, המבקשת טוענת כי היא עתידה לספוג נזקים כלכליים ותדמיתיים אם לא יינתן עיכוב ביצוע. ברם, ככל שערעורה של המבקשת יתקבל ניתן יהיה לפצות אותה בפיצוי כספי בעבור נזקים נטענים אלו, ואין מדובר בנזק בלתי הפיך שייגרם לה (ראו: </w:t>
      </w:r>
      <w:r w:rsidRPr="00622CAA">
        <w:rPr>
          <w:rFonts w:ascii="Times New Roman" w:hAnsi="Times New Roman"/>
          <w:b/>
          <w:bCs/>
          <w:noProof/>
          <w:szCs w:val="24"/>
          <w:rtl/>
        </w:rPr>
        <w:t>ע"א 5671/11</w:t>
      </w:r>
      <w:r>
        <w:rPr>
          <w:rFonts w:ascii="Century" w:hAnsi="Century"/>
          <w:sz w:val="22"/>
          <w:rtl/>
        </w:rPr>
        <w:t xml:space="preserve"> </w:t>
      </w:r>
      <w:r>
        <w:rPr>
          <w:rFonts w:ascii="Century" w:hAnsi="Century" w:cs="Miriam"/>
          <w:b/>
          <w:spacing w:val="0"/>
          <w:sz w:val="22"/>
          <w:szCs w:val="24"/>
          <w:rtl/>
        </w:rPr>
        <w:t>אנדרסון מדיקל בע''מ נ' אוניפארם בע''מ</w:t>
      </w:r>
      <w:r>
        <w:rPr>
          <w:rFonts w:ascii="Century" w:hAnsi="Century"/>
          <w:sz w:val="22"/>
          <w:rtl/>
        </w:rPr>
        <w:t xml:space="preserve">, </w:t>
      </w:r>
      <w:r>
        <w:rPr>
          <w:rFonts w:ascii="Times New Roman" w:hAnsi="Times New Roman"/>
          <w:b/>
          <w:bCs/>
          <w:noProof/>
          <w:szCs w:val="24"/>
          <w:rtl/>
        </w:rPr>
        <w:t xml:space="preserve">פסקה 8 (1.9.2011); </w:t>
      </w:r>
      <w:r w:rsidRPr="00622CAA">
        <w:rPr>
          <w:rFonts w:ascii="Times New Roman" w:hAnsi="Times New Roman"/>
          <w:b/>
          <w:bCs/>
          <w:noProof/>
          <w:szCs w:val="24"/>
          <w:rtl/>
        </w:rPr>
        <w:t>ע"א 1272/15</w:t>
      </w:r>
      <w:r>
        <w:rPr>
          <w:rtl/>
        </w:rPr>
        <w:t xml:space="preserve"> </w:t>
      </w:r>
      <w:r>
        <w:rPr>
          <w:rFonts w:ascii="Century" w:hAnsi="Century" w:cs="Miriam"/>
          <w:b/>
          <w:spacing w:val="0"/>
          <w:sz w:val="22"/>
          <w:szCs w:val="24"/>
          <w:rtl/>
        </w:rPr>
        <w:t>נובוקרטין בע"מ נ' הייר אקספרס בע"מ</w:t>
      </w:r>
      <w:r>
        <w:rPr>
          <w:rtl/>
        </w:rPr>
        <w:t xml:space="preserve">, </w:t>
      </w:r>
      <w:r>
        <w:rPr>
          <w:rFonts w:ascii="Times New Roman" w:hAnsi="Times New Roman"/>
          <w:b/>
          <w:bCs/>
          <w:noProof/>
          <w:szCs w:val="24"/>
          <w:rtl/>
        </w:rPr>
        <w:t>פסקאות 13-12 (19.2.2015)). נוסף על כך, הטענה בדבר הפגיעה התדמיתית הצפויה למבקשת לא גובתה באסמכתאות מתאימות. המבקשת לא הראתה</w:t>
      </w:r>
      <w:r>
        <w:rPr>
          <w:rtl/>
        </w:rPr>
        <w:t xml:space="preserve"> </w:t>
      </w:r>
      <w:r>
        <w:rPr>
          <w:rFonts w:ascii="Times New Roman" w:hAnsi="Times New Roman"/>
          <w:b/>
          <w:bCs/>
          <w:noProof/>
          <w:szCs w:val="24"/>
          <w:rtl/>
        </w:rPr>
        <w:t xml:space="preserve">ראיות ממשיות בנוגע למוניטין אותו הצליחה לבנות במשך החודשים המועטים מאז הושק המותג החדש הבא לידי ביטוי בשלט השני, אשר ביצוע ההחלטה תפגע בו בשלב הזה (ראו: </w:t>
      </w:r>
      <w:r w:rsidRPr="00622CAA">
        <w:rPr>
          <w:rFonts w:ascii="Times New Roman" w:hAnsi="Times New Roman"/>
          <w:b/>
          <w:bCs/>
          <w:noProof/>
          <w:szCs w:val="24"/>
          <w:rtl/>
        </w:rPr>
        <w:t>ע"א 3343/17</w:t>
      </w:r>
      <w:r>
        <w:rPr>
          <w:rtl/>
        </w:rPr>
        <w:t xml:space="preserve"> </w:t>
      </w:r>
      <w:r>
        <w:rPr>
          <w:rFonts w:ascii="Century" w:hAnsi="Century" w:cs="Miriam"/>
          <w:b/>
          <w:spacing w:val="0"/>
          <w:sz w:val="22"/>
          <w:szCs w:val="24"/>
          <w:rtl/>
        </w:rPr>
        <w:t>יקבי ירושלים אגודה חקלאית שיתופית בע"מ נ' אנטיפוד השקעות בע"מ</w:t>
      </w:r>
      <w:r>
        <w:rPr>
          <w:rFonts w:ascii="Century" w:hAnsi="Century"/>
          <w:sz w:val="22"/>
          <w:rtl/>
        </w:rPr>
        <w:t>,</w:t>
      </w:r>
      <w:r>
        <w:rPr>
          <w:rtl/>
        </w:rPr>
        <w:t xml:space="preserve"> </w:t>
      </w:r>
      <w:r>
        <w:rPr>
          <w:rFonts w:ascii="Times New Roman" w:hAnsi="Times New Roman"/>
          <w:b/>
          <w:bCs/>
          <w:noProof/>
          <w:szCs w:val="24"/>
          <w:rtl/>
        </w:rPr>
        <w:t xml:space="preserve">פסקה 22 (1.8.2017); </w:t>
      </w:r>
      <w:r w:rsidRPr="00622CAA">
        <w:rPr>
          <w:rFonts w:ascii="Times New Roman" w:hAnsi="Times New Roman"/>
          <w:b/>
          <w:bCs/>
          <w:noProof/>
          <w:szCs w:val="24"/>
          <w:rtl/>
        </w:rPr>
        <w:t>רע"א 1598/16</w:t>
      </w:r>
      <w:r>
        <w:rPr>
          <w:rtl/>
        </w:rPr>
        <w:t xml:space="preserve"> </w:t>
      </w:r>
      <w:r>
        <w:rPr>
          <w:rFonts w:ascii="Century" w:hAnsi="Century" w:cs="Miriam"/>
          <w:b/>
          <w:spacing w:val="0"/>
          <w:sz w:val="22"/>
          <w:szCs w:val="24"/>
          <w:rtl/>
        </w:rPr>
        <w:t>בריל אאוטלט אילת בע"מ נ' ביג מרכזים מסחריים שותפות מוגבלת</w:t>
      </w:r>
      <w:r>
        <w:rPr>
          <w:rtl/>
        </w:rPr>
        <w:t xml:space="preserve">, </w:t>
      </w:r>
      <w:r>
        <w:rPr>
          <w:rFonts w:ascii="Times New Roman" w:hAnsi="Times New Roman"/>
          <w:b/>
          <w:bCs/>
          <w:noProof/>
          <w:szCs w:val="24"/>
          <w:rtl/>
        </w:rPr>
        <w:t>פסקה 18 (11.4.2016)). מאידך גיסא, בפי המשיבות טענות זהות שנגרמים להן נזקים כספיים נמשכים משמעותיים כל אימת שהמבקשת משתמשת בשלט השני. על כן אינני מוצא כי מאזן הנוחות מטה את הכף לטובת קבלת הבקשה</w:t>
      </w:r>
      <w:r>
        <w:rPr>
          <w:rtl/>
        </w:rPr>
        <w:t>."</w:t>
      </w:r>
    </w:p>
    <w:p w:rsidR="00FC11E6" w:rsidRDefault="00FC11E6" w:rsidP="00FC11E6">
      <w:pPr>
        <w:pStyle w:val="ad"/>
        <w:spacing w:after="0" w:line="360" w:lineRule="auto"/>
        <w:ind w:left="567"/>
        <w:jc w:val="both"/>
        <w:rPr>
          <w:rFonts w:ascii="David" w:hAnsi="David" w:cs="David"/>
          <w:sz w:val="24"/>
          <w:szCs w:val="24"/>
        </w:rPr>
      </w:pPr>
      <w:r>
        <w:rPr>
          <w:rFonts w:ascii="David" w:hAnsi="David" w:cs="David"/>
          <w:sz w:val="24"/>
          <w:szCs w:val="24"/>
          <w:rtl/>
        </w:rPr>
        <w:t xml:space="preserve">ראו: ע"פ 7500/19 </w:t>
      </w:r>
      <w:r>
        <w:rPr>
          <w:rFonts w:ascii="Miriam" w:hAnsi="Miriam" w:cs="Miriam"/>
          <w:sz w:val="24"/>
          <w:szCs w:val="24"/>
          <w:rtl/>
        </w:rPr>
        <w:t>אור רז נ' עמינח תעשיות רהיטים ומזרונים בע"מ</w:t>
      </w:r>
      <w:r>
        <w:rPr>
          <w:rFonts w:ascii="David" w:hAnsi="David" w:cs="David"/>
          <w:sz w:val="24"/>
          <w:szCs w:val="24"/>
          <w:rtl/>
        </w:rPr>
        <w:t xml:space="preserve"> (נבו, 11.12.2019), פסקה 10 לפסק הדין.</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rtl/>
        </w:rPr>
        <w:t xml:space="preserve">יש לקחת בחשבון את סוג המוצר הנמכר. כאשר מדובר במוצרי ביגוד והלבשה (בהתאם לקטגוריה של רישום הסימן) מדובר במוצרים שקל לכמת את הנזקים שייגרמו בסופו של יום לו יזכו המבקשים בתביעה. לכך יש להוסיף כי בסעדי התביעה אמנם התבקש גם סעד של מתן חשבונות. </w:t>
      </w:r>
    </w:p>
    <w:p w:rsidR="00FC11E6" w:rsidRDefault="00FC11E6" w:rsidP="00FC11E6">
      <w:pPr>
        <w:pStyle w:val="ad"/>
        <w:spacing w:after="0" w:line="360" w:lineRule="auto"/>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rtl/>
        </w:rPr>
        <w:t xml:space="preserve">על כן, וככל ובסופו של יום יזכו המבקשים בתביעתם ניתן יהיה לשפותם על נזקיהם.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rtl/>
        </w:rPr>
      </w:pPr>
      <w:r>
        <w:rPr>
          <w:rFonts w:ascii="David" w:hAnsi="David" w:cs="David"/>
          <w:sz w:val="24"/>
          <w:szCs w:val="24"/>
          <w:u w:val="single"/>
          <w:rtl/>
        </w:rPr>
        <w:lastRenderedPageBreak/>
        <w:t>נוסח צו המניעה שהתבקש והיקפו</w:t>
      </w:r>
      <w:r>
        <w:rPr>
          <w:rFonts w:ascii="David" w:hAnsi="David" w:cs="David"/>
          <w:sz w:val="24"/>
          <w:szCs w:val="24"/>
          <w:rtl/>
        </w:rPr>
        <w:t xml:space="preserve"> – הצו שהתבקש הוא רחב ובימ"ש התבקש למנוע כל שימוש של המשיבים בצירוף </w:t>
      </w:r>
      <w:r>
        <w:rPr>
          <w:rFonts w:ascii="David" w:hAnsi="David"/>
        </w:rPr>
        <w:t>ICON PARIS</w:t>
      </w:r>
      <w:r>
        <w:rPr>
          <w:rFonts w:ascii="David" w:hAnsi="David" w:cs="David"/>
          <w:sz w:val="24"/>
          <w:szCs w:val="24"/>
          <w:rtl/>
        </w:rPr>
        <w:t xml:space="preserve">. בדיון התבקשו המבקשים לחדד את הצו שהם מבקשים, זאת על מנת שניתן יהיה גם לאכוף את הצו לו יינתן, בתגובה ציינו כי לא יעמדו על הסעד ביחס לנעליים. למרות זאת בקטלוג שצורף לאחר הדיון חזרו וטענו להפרה בנעליים.  המבקשים ציינו כי הם מבקשים כי יינתן צו שהמשיבים יפסיקו להשתמש במונח: </w:t>
      </w:r>
      <w:r>
        <w:rPr>
          <w:rFonts w:ascii="David" w:hAnsi="David" w:cs="David"/>
          <w:sz w:val="24"/>
          <w:szCs w:val="24"/>
        </w:rPr>
        <w:t>ICON PARIS</w:t>
      </w:r>
      <w:r>
        <w:rPr>
          <w:rFonts w:ascii="David" w:hAnsi="David" w:cs="David"/>
          <w:sz w:val="24"/>
          <w:szCs w:val="24"/>
          <w:rtl/>
        </w:rPr>
        <w:t xml:space="preserve">  ביחס </w:t>
      </w:r>
      <w:r>
        <w:rPr>
          <w:rFonts w:ascii="David" w:hAnsi="David" w:cs="David"/>
          <w:sz w:val="24"/>
          <w:szCs w:val="24"/>
          <w:u w:val="single"/>
          <w:rtl/>
        </w:rPr>
        <w:t>לכל</w:t>
      </w:r>
      <w:r>
        <w:rPr>
          <w:rFonts w:ascii="David" w:hAnsi="David" w:cs="David"/>
          <w:sz w:val="24"/>
          <w:szCs w:val="24"/>
          <w:rtl/>
        </w:rPr>
        <w:t xml:space="preserve"> הבגדים. בהתחשב בכל האמור לעיל וכאשר צו שניתן אינו תיאורטי אלא אמור להיות מעשי וקל וברור לאכיפה היעתרות לצו כפי שהתבקש, הינה רחבה מדי ולא תאפשר את יישומו ואכיפתו גם אם הייתי נכונה להיעתר לחלק מהבקשה.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b/>
          <w:bCs/>
          <w:sz w:val="24"/>
          <w:szCs w:val="24"/>
          <w:rtl/>
        </w:rPr>
      </w:pPr>
      <w:r>
        <w:rPr>
          <w:rFonts w:ascii="David" w:hAnsi="David" w:cs="David"/>
          <w:b/>
          <w:bCs/>
          <w:sz w:val="24"/>
          <w:szCs w:val="24"/>
          <w:rtl/>
        </w:rPr>
        <w:t xml:space="preserve">אשר על כן גם בבחינת מאזן הנוחות והנזקים, הכף נוטה לטובת המשיבים. </w:t>
      </w:r>
    </w:p>
    <w:p w:rsidR="00FC11E6" w:rsidRDefault="00FC11E6" w:rsidP="00FC11E6">
      <w:pPr>
        <w:pStyle w:val="ad"/>
        <w:rPr>
          <w:rFonts w:ascii="David" w:hAnsi="David" w:cs="David"/>
          <w:sz w:val="24"/>
          <w:szCs w:val="24"/>
        </w:rPr>
      </w:pPr>
    </w:p>
    <w:p w:rsidR="00FC11E6" w:rsidRDefault="00FC11E6" w:rsidP="00FC11E6">
      <w:pPr>
        <w:pStyle w:val="ad"/>
        <w:numPr>
          <w:ilvl w:val="0"/>
          <w:numId w:val="2"/>
        </w:numPr>
        <w:spacing w:after="0" w:line="360" w:lineRule="auto"/>
        <w:ind w:left="567" w:hanging="567"/>
        <w:jc w:val="both"/>
        <w:rPr>
          <w:rFonts w:ascii="David" w:hAnsi="David" w:cs="David"/>
          <w:sz w:val="24"/>
          <w:szCs w:val="24"/>
          <w:u w:val="single"/>
          <w:rtl/>
        </w:rPr>
      </w:pPr>
      <w:r>
        <w:rPr>
          <w:rFonts w:ascii="David" w:hAnsi="David" w:cs="David"/>
          <w:sz w:val="24"/>
          <w:szCs w:val="24"/>
          <w:u w:val="single"/>
          <w:rtl/>
        </w:rPr>
        <w:t>הבקשה לצווי עשה –</w:t>
      </w:r>
      <w:r>
        <w:rPr>
          <w:rFonts w:ascii="David" w:hAnsi="David" w:cs="David"/>
          <w:sz w:val="24"/>
          <w:szCs w:val="24"/>
          <w:rtl/>
        </w:rPr>
        <w:t xml:space="preserve"> לאור כל האמור לעיל, אין גם מקום להיעתר לבקשה לצווי עשה שעה שצו המניעה לא התקבל. כידוע צו עשה משנה את המצב הקיים וההיעתרות לו הינה במשורה ובמקרים חריגים בלבד. כמו כן היעתרות לצו זה מהווה מתן סעד זמני שהינו גם אחד מהסעדים העיקריים והסופיים שהתבקשו בתביעה.</w:t>
      </w:r>
    </w:p>
    <w:p w:rsidR="00FC11E6" w:rsidRDefault="00FC11E6" w:rsidP="00FC11E6">
      <w:pPr>
        <w:pStyle w:val="ad"/>
        <w:spacing w:after="0" w:line="24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b/>
          <w:bCs/>
          <w:sz w:val="24"/>
          <w:szCs w:val="24"/>
          <w:rtl/>
        </w:rPr>
      </w:pPr>
      <w:r>
        <w:rPr>
          <w:rFonts w:ascii="David" w:hAnsi="David" w:cs="David"/>
          <w:b/>
          <w:bCs/>
          <w:sz w:val="24"/>
          <w:szCs w:val="24"/>
          <w:rtl/>
        </w:rPr>
        <w:t>אשר על כן ומכל הנימוקים לעיל, הבקשה נדחית.</w:t>
      </w:r>
    </w:p>
    <w:p w:rsidR="00FC11E6" w:rsidRDefault="00FC11E6" w:rsidP="00FC11E6">
      <w:pPr>
        <w:pStyle w:val="ad"/>
        <w:spacing w:after="0" w:line="24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sz w:val="24"/>
          <w:szCs w:val="24"/>
          <w:u w:val="single"/>
          <w:rtl/>
        </w:rPr>
        <w:t>הוצאות הבקשה</w:t>
      </w:r>
      <w:r>
        <w:rPr>
          <w:rFonts w:ascii="David" w:hAnsi="David" w:cs="David"/>
          <w:sz w:val="24"/>
          <w:szCs w:val="24"/>
          <w:rtl/>
        </w:rPr>
        <w:t xml:space="preserve"> – לאחר בחינת היקף הבקשה ותוצאתה, המבקשים, יחד ולחוד, יישאו בהוצאות המשיבים יחדיו בסך של 15,000 ₪, אשר ישולמו בתוך 30 יום, ולא – יישאו הפרשי ריבית והצמדה כדין. </w:t>
      </w:r>
    </w:p>
    <w:p w:rsidR="00FC11E6" w:rsidRDefault="00FC11E6" w:rsidP="00FC11E6">
      <w:pPr>
        <w:pStyle w:val="ad"/>
        <w:spacing w:after="0" w:line="240" w:lineRule="auto"/>
        <w:rPr>
          <w:rFonts w:ascii="David" w:hAnsi="David" w:cs="David"/>
          <w:sz w:val="24"/>
          <w:szCs w:val="24"/>
          <w:rtl/>
        </w:rPr>
      </w:pPr>
    </w:p>
    <w:p w:rsidR="00FC11E6" w:rsidRDefault="00FC11E6" w:rsidP="00FC11E6">
      <w:pPr>
        <w:pStyle w:val="ad"/>
        <w:numPr>
          <w:ilvl w:val="0"/>
          <w:numId w:val="2"/>
        </w:numPr>
        <w:spacing w:after="0" w:line="360" w:lineRule="auto"/>
        <w:ind w:left="567" w:hanging="567"/>
        <w:jc w:val="both"/>
        <w:rPr>
          <w:rFonts w:ascii="David" w:hAnsi="David" w:cs="David"/>
          <w:sz w:val="24"/>
          <w:szCs w:val="24"/>
        </w:rPr>
      </w:pPr>
      <w:r>
        <w:rPr>
          <w:rFonts w:ascii="David" w:hAnsi="David" w:cs="David"/>
          <w:b/>
          <w:bCs/>
          <w:sz w:val="24"/>
          <w:szCs w:val="24"/>
          <w:u w:val="single"/>
          <w:rtl/>
        </w:rPr>
        <w:t>המזכירות</w:t>
      </w:r>
      <w:r>
        <w:rPr>
          <w:rFonts w:ascii="David" w:hAnsi="David" w:cs="David"/>
          <w:sz w:val="24"/>
          <w:szCs w:val="24"/>
          <w:rtl/>
        </w:rPr>
        <w:t xml:space="preserve"> תסגור את בקשה 2.</w:t>
      </w:r>
    </w:p>
    <w:p w:rsidR="00FC11E6" w:rsidRDefault="00FC11E6" w:rsidP="00FC11E6">
      <w:pPr>
        <w:spacing w:line="360" w:lineRule="auto"/>
        <w:jc w:val="both"/>
        <w:rPr>
          <w:rFonts w:ascii="Arial" w:hAnsi="Arial"/>
          <w:noProof w:val="0"/>
          <w:rtl/>
        </w:rPr>
      </w:pPr>
    </w:p>
    <w:p w:rsidR="00694556" w:rsidRDefault="0043502B">
      <w:pPr>
        <w:spacing w:line="360" w:lineRule="auto"/>
        <w:jc w:val="both"/>
        <w:rPr>
          <w:rFonts w:ascii="Arial" w:hAnsi="Arial"/>
          <w:noProof w:val="0"/>
          <w:rtl/>
        </w:rPr>
      </w:pPr>
      <w:r>
        <w:rPr>
          <w:rFonts w:ascii="Arial" w:hAnsi="Arial"/>
          <w:noProof w:val="0"/>
          <w:rtl/>
        </w:rPr>
        <w:t>נית</w:t>
      </w:r>
      <w:r>
        <w:rPr>
          <w:rFonts w:ascii="Arial" w:hAnsi="Arial" w:hint="cs"/>
          <w:noProof w:val="0"/>
          <w:rtl/>
        </w:rPr>
        <w:t>נה</w:t>
      </w:r>
      <w:r w:rsidR="00005C8B">
        <w:rPr>
          <w:rFonts w:ascii="Arial" w:hAnsi="Arial"/>
          <w:noProof w:val="0"/>
          <w:rtl/>
        </w:rPr>
        <w:t xml:space="preserve"> היום, </w:t>
      </w:r>
      <w:sdt>
        <w:sdtPr>
          <w:rPr>
            <w:rtl/>
          </w:rPr>
          <w:alias w:val="1455"/>
          <w:tag w:val="1455"/>
          <w:id w:val="1666048407"/>
          <w:text w:multiLine="1"/>
        </w:sdtPr>
        <w:sdtEndPr/>
        <w:sdtContent>
          <w:r>
            <w:rPr>
              <w:rFonts w:ascii="Arial" w:hAnsi="Arial"/>
              <w:noProof w:val="0"/>
              <w:rtl/>
            </w:rPr>
            <w:t>י"ח חשוון תשפ"ה</w:t>
          </w:r>
        </w:sdtContent>
      </w:sdt>
      <w:r w:rsidR="00005C8B">
        <w:rPr>
          <w:rFonts w:ascii="Arial" w:hAnsi="Arial"/>
          <w:noProof w:val="0"/>
          <w:rtl/>
        </w:rPr>
        <w:t xml:space="preserve">, </w:t>
      </w:r>
      <w:sdt>
        <w:sdtPr>
          <w:rPr>
            <w:rtl/>
          </w:rPr>
          <w:alias w:val="1456"/>
          <w:tag w:val="1456"/>
          <w:id w:val="-1186288958"/>
          <w:text w:multiLine="1"/>
        </w:sdtPr>
        <w:sdtEndPr/>
        <w:sdtContent>
          <w:r>
            <w:rPr>
              <w:rFonts w:ascii="Arial" w:hAnsi="Arial"/>
              <w:noProof w:val="0"/>
              <w:rtl/>
            </w:rPr>
            <w:t>19 נובמבר 2024</w:t>
          </w:r>
        </w:sdtContent>
      </w:sdt>
      <w:r w:rsidR="00005C8B">
        <w:rPr>
          <w:rFonts w:ascii="Arial" w:hAnsi="Arial"/>
          <w:noProof w:val="0"/>
          <w:rtl/>
        </w:rPr>
        <w:t>, בהעדר הצדדים.</w:t>
      </w:r>
    </w:p>
    <w:p w:rsidR="00C43648" w:rsidRDefault="00A83C5F" w:rsidP="00BD6531">
      <w:pPr>
        <w:tabs>
          <w:tab w:val="left" w:pos="2553"/>
        </w:tabs>
        <w:ind w:left="5040"/>
        <w:rPr>
          <w:rtl/>
        </w:rPr>
      </w:pPr>
      <w:sdt>
        <w:sdtPr>
          <w:rPr>
            <w:rFonts w:hint="cs"/>
            <w:rtl/>
          </w:rPr>
          <w:alias w:val="2045"/>
          <w:tag w:val="2045"/>
          <w:id w:val="740689340"/>
          <w:placeholder>
            <w:docPart w:val="E460D38E05664FF79D4EFF282EF8EC99"/>
          </w:placeholder>
          <w:showingPlcHdr/>
          <w:text w:multiLine="1"/>
        </w:sdtPr>
        <w:sdtEndPr/>
        <w:sdtContent>
          <w:r w:rsidR="00C43648">
            <w:rPr>
              <w:rFonts w:hint="cs"/>
              <w:rtl/>
            </w:rPr>
            <w:t xml:space="preserve">     </w:t>
          </w:r>
        </w:sdtContent>
      </w:sdt>
    </w:p>
    <w:p w:rsidR="00694556" w:rsidRDefault="00BD6531" w:rsidP="00BD6531">
      <w:pPr>
        <w:tabs>
          <w:tab w:val="left" w:pos="2553"/>
        </w:tabs>
      </w:pPr>
      <w:r>
        <w:rPr>
          <w:rFonts w:hint="cs"/>
          <w:rtl/>
        </w:rPr>
        <w:tab/>
      </w:r>
      <w:r>
        <w:rPr>
          <w:rFonts w:hint="cs"/>
          <w:rtl/>
        </w:rPr>
        <w:tab/>
      </w:r>
      <w:r>
        <w:rPr>
          <w:rFonts w:hint="cs"/>
          <w:rtl/>
        </w:rPr>
        <w:tab/>
      </w:r>
      <w:r>
        <w:rPr>
          <w:rFonts w:hint="cs"/>
          <w:rtl/>
        </w:rPr>
        <w:tab/>
        <w:t xml:space="preserve">        </w:t>
      </w:r>
      <w:sdt>
        <w:sdtPr>
          <w:rPr>
            <w:rtl/>
          </w:rPr>
          <w:alias w:val="MergeField"/>
          <w:tag w:val="1237"/>
          <w:id w:val="-1350477664"/>
        </w:sdtPr>
        <w:sdtEndPr/>
        <w:sdtContent>
          <w:r w:rsidR="00032081">
            <w:drawing>
              <wp:inline distT="0" distB="0" distL="0" distR="0" wp14:editId="50D07946">
                <wp:extent cx="1600200"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18" cstate="print">
                          <a:extLst/>
                        </a:blip>
                        <a:stretch>
                          <a:fillRect/>
                        </a:stretch>
                      </pic:blipFill>
                      <pic:spPr>
                        <a:xfrm>
                          <a:off x="0" y="0"/>
                          <a:ext cx="1600200" cy="790575"/>
                        </a:xfrm>
                        <a:prstGeom prst="rect">
                          <a:avLst/>
                        </a:prstGeom>
                      </pic:spPr>
                    </pic:pic>
                  </a:graphicData>
                </a:graphic>
              </wp:inline>
            </w:drawing>
          </w:r>
        </w:sdtContent>
      </w:sdt>
    </w:p>
    <w:p w:rsidR="00694556" w:rsidRDefault="00694556" w:rsidP="00BD6531">
      <w:pPr>
        <w:tabs>
          <w:tab w:val="left" w:pos="2553"/>
        </w:tabs>
        <w:rPr>
          <w:rFonts w:ascii="Arial" w:hAnsi="Arial"/>
          <w:noProof w:val="0"/>
          <w:rtl/>
        </w:rPr>
      </w:pPr>
    </w:p>
    <w:sectPr w:rsidR="00694556" w:rsidSect="001F5DB6">
      <w:headerReference w:type="even" r:id="rId19"/>
      <w:headerReference w:type="default" r:id="rId20"/>
      <w:footerReference w:type="even" r:id="rId21"/>
      <w:footerReference w:type="default" r:id="rId22"/>
      <w:headerReference w:type="first" r:id="rId23"/>
      <w:footerReference w:type="first" r:id="rId24"/>
      <w:pgSz w:w="11907" w:h="16840" w:code="9"/>
      <w:pgMar w:top="1440" w:right="1800" w:bottom="1440" w:left="1800" w:header="720" w:footer="510"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3C5F" w:rsidRDefault="00A83C5F">
      <w:r>
        <w:separator/>
      </w:r>
    </w:p>
  </w:endnote>
  <w:endnote w:type="continuationSeparator" w:id="0">
    <w:p w:rsidR="00A83C5F" w:rsidRDefault="00A83C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Arial TUR">
    <w:altName w:val="Arial"/>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11E6" w:rsidRDefault="00FC11E6">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Pr="004E6E3C" w:rsidRDefault="000C3B60">
    <w:pPr>
      <w:pStyle w:val="a4"/>
      <w:jc w:val="center"/>
      <w:rPr>
        <w:rStyle w:val="ab"/>
      </w:rPr>
    </w:pPr>
    <w:r w:rsidRPr="004E6E3C">
      <w:rPr>
        <w:rStyle w:val="ab"/>
        <w:rFonts w:cs="Times New Roman"/>
      </w:rPr>
      <w:fldChar w:fldCharType="begin"/>
    </w:r>
    <w:r w:rsidR="00005C8B" w:rsidRPr="004E6E3C">
      <w:rPr>
        <w:rStyle w:val="ab"/>
        <w:rFonts w:cs="Times New Roman"/>
      </w:rPr>
      <w:instrText xml:space="preserve"> PAGE </w:instrText>
    </w:r>
    <w:r w:rsidRPr="004E6E3C">
      <w:rPr>
        <w:rStyle w:val="ab"/>
        <w:rFonts w:cs="Times New Roman"/>
      </w:rPr>
      <w:fldChar w:fldCharType="separate"/>
    </w:r>
    <w:r w:rsidR="00292178">
      <w:rPr>
        <w:rStyle w:val="ab"/>
        <w:rFonts w:cs="Times New Roman"/>
        <w:rtl/>
      </w:rPr>
      <w:t>1</w:t>
    </w:r>
    <w:r w:rsidRPr="004E6E3C">
      <w:rPr>
        <w:rStyle w:val="ab"/>
        <w:rFonts w:cs="Times New Roman"/>
      </w:rPr>
      <w:fldChar w:fldCharType="end"/>
    </w:r>
    <w:r w:rsidR="00005C8B" w:rsidRPr="004E6E3C">
      <w:rPr>
        <w:rStyle w:val="ab"/>
        <w:rFonts w:hint="cs"/>
        <w:rtl/>
      </w:rPr>
      <w:t xml:space="preserve"> מתוך </w:t>
    </w:r>
    <w:r w:rsidRPr="004E6E3C">
      <w:rPr>
        <w:rStyle w:val="ab"/>
      </w:rPr>
      <w:fldChar w:fldCharType="begin"/>
    </w:r>
    <w:r w:rsidR="00005C8B" w:rsidRPr="004E6E3C">
      <w:rPr>
        <w:rStyle w:val="ab"/>
      </w:rPr>
      <w:instrText xml:space="preserve"> NUMPAGES </w:instrText>
    </w:r>
    <w:r w:rsidRPr="004E6E3C">
      <w:rPr>
        <w:rStyle w:val="ab"/>
      </w:rPr>
      <w:fldChar w:fldCharType="separate"/>
    </w:r>
    <w:r w:rsidR="00292178">
      <w:rPr>
        <w:rStyle w:val="ab"/>
        <w:rtl/>
      </w:rPr>
      <w:t>16</w:t>
    </w:r>
    <w:r w:rsidRPr="004E6E3C">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11E6" w:rsidRDefault="00FC11E6">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3C5F" w:rsidRDefault="00A83C5F">
      <w:r>
        <w:separator/>
      </w:r>
    </w:p>
  </w:footnote>
  <w:footnote w:type="continuationSeparator" w:id="0">
    <w:p w:rsidR="00A83C5F" w:rsidRDefault="00A83C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11E6" w:rsidRDefault="00FC11E6">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Default="00DC1259">
    <w:pPr>
      <w:pStyle w:val="a3"/>
      <w:jc w:val="center"/>
      <w:rPr>
        <w:rFonts w:cs="FrankRuehl"/>
        <w:noProof w:val="0"/>
        <w:sz w:val="28"/>
        <w:szCs w:val="28"/>
        <w:rtl/>
      </w:rPr>
    </w:pPr>
    <w:r>
      <w:rPr>
        <w:rFonts w:cs="FrankRuehl"/>
        <w:sz w:val="28"/>
        <w:szCs w:val="28"/>
      </w:rPr>
      <w:drawing>
        <wp:inline distT="0" distB="0" distL="0" distR="0" wp14:anchorId="5D3BA177" wp14:editId="53AE422C">
          <wp:extent cx="374015" cy="469265"/>
          <wp:effectExtent l="0" t="0" r="6985" b="6985"/>
          <wp:docPr id="10"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810"/>
      <w:gridCol w:w="3497"/>
    </w:tblGrid>
    <w:tr w:rsidR="00694556" w:rsidTr="00B95A71">
      <w:trPr>
        <w:trHeight w:hRule="exact" w:val="993"/>
        <w:jc w:val="center"/>
      </w:trPr>
      <w:sdt>
        <w:sdtPr>
          <w:rPr>
            <w:rFonts w:ascii="Tahoma" w:hAnsi="Tahoma"/>
            <w:b/>
            <w:bCs/>
            <w:color w:val="000080"/>
            <w:sz w:val="32"/>
            <w:szCs w:val="32"/>
            <w:rtl/>
          </w:rPr>
          <w:alias w:val="1174"/>
          <w:tag w:val="1174"/>
          <w:id w:val="-1585920285"/>
          <w:text w:multiLine="1"/>
        </w:sdtPr>
        <w:sdtEndPr/>
        <w:sdtContent>
          <w:tc>
            <w:tcPr>
              <w:tcW w:w="8721" w:type="dxa"/>
              <w:gridSpan w:val="2"/>
            </w:tcPr>
            <w:p w:rsidR="00694556" w:rsidRPr="00FA4EAF" w:rsidRDefault="003D1C8C" w:rsidP="003230C7">
              <w:pPr>
                <w:pStyle w:val="a3"/>
                <w:jc w:val="center"/>
                <w:rPr>
                  <w:rFonts w:ascii="Tahoma" w:hAnsi="Tahoma"/>
                  <w:noProof w:val="0"/>
                  <w:color w:val="000080"/>
                  <w:sz w:val="32"/>
                  <w:szCs w:val="32"/>
                  <w:rtl/>
                </w:rPr>
              </w:pPr>
              <w:r w:rsidRPr="00FA4EAF">
                <w:rPr>
                  <w:rFonts w:ascii="Tahoma" w:hAnsi="Tahoma"/>
                  <w:b/>
                  <w:bCs/>
                  <w:color w:val="000080"/>
                  <w:sz w:val="32"/>
                  <w:szCs w:val="32"/>
                  <w:rtl/>
                </w:rPr>
                <w:t>בית המשפט המחוזי בתל אביב -יפו</w:t>
              </w:r>
            </w:p>
          </w:tc>
        </w:sdtContent>
      </w:sdt>
    </w:tr>
    <w:tr w:rsidR="00694556">
      <w:trPr>
        <w:trHeight w:val="337"/>
        <w:jc w:val="center"/>
      </w:trPr>
      <w:tc>
        <w:tcPr>
          <w:tcW w:w="5047" w:type="dxa"/>
        </w:tcPr>
        <w:p w:rsidR="00694556" w:rsidRDefault="00694556">
          <w:pPr>
            <w:rPr>
              <w:b/>
              <w:bCs/>
              <w:noProof w:val="0"/>
              <w:sz w:val="26"/>
              <w:szCs w:val="26"/>
              <w:rtl/>
            </w:rPr>
          </w:pPr>
        </w:p>
      </w:tc>
      <w:tc>
        <w:tcPr>
          <w:tcW w:w="3674" w:type="dxa"/>
        </w:tcPr>
        <w:p w:rsidR="00694556" w:rsidRDefault="00694556">
          <w:pPr>
            <w:pStyle w:val="a3"/>
            <w:jc w:val="right"/>
            <w:rPr>
              <w:b/>
              <w:bCs/>
              <w:noProof w:val="0"/>
              <w:sz w:val="26"/>
              <w:szCs w:val="26"/>
              <w:rtl/>
            </w:rPr>
          </w:pPr>
        </w:p>
      </w:tc>
    </w:tr>
    <w:tr w:rsidR="00694556" w:rsidRPr="00FA4EAF">
      <w:trPr>
        <w:trHeight w:val="337"/>
        <w:jc w:val="center"/>
      </w:trPr>
      <w:tc>
        <w:tcPr>
          <w:tcW w:w="8721" w:type="dxa"/>
          <w:gridSpan w:val="2"/>
        </w:tcPr>
        <w:p w:rsidR="007D45E3" w:rsidRPr="00FA4EAF" w:rsidRDefault="00A83C5F" w:rsidP="007D45E3">
          <w:pPr>
            <w:rPr>
              <w:b/>
              <w:bCs/>
              <w:noProof w:val="0"/>
              <w:sz w:val="26"/>
              <w:szCs w:val="26"/>
              <w:rtl/>
            </w:rPr>
          </w:pPr>
          <w:sdt>
            <w:sdtPr>
              <w:rPr>
                <w:sz w:val="26"/>
                <w:szCs w:val="26"/>
                <w:rtl/>
              </w:rPr>
              <w:alias w:val="1170"/>
              <w:tag w:val="1170"/>
              <w:id w:val="1066377040"/>
              <w:text w:multiLine="1"/>
            </w:sdtPr>
            <w:sdtEndPr/>
            <w:sdtContent>
              <w:r w:rsidR="001F5DB6">
                <w:rPr>
                  <w:b/>
                  <w:bCs/>
                  <w:noProof w:val="0"/>
                  <w:sz w:val="26"/>
                  <w:szCs w:val="26"/>
                  <w:rtl/>
                </w:rPr>
                <w:t>ת"א</w:t>
              </w:r>
            </w:sdtContent>
          </w:sdt>
          <w:r w:rsidR="00005C8B" w:rsidRPr="00FA4EAF">
            <w:rPr>
              <w:b/>
              <w:bCs/>
              <w:noProof w:val="0"/>
              <w:sz w:val="26"/>
              <w:szCs w:val="26"/>
              <w:rtl/>
            </w:rPr>
            <w:t xml:space="preserve"> </w:t>
          </w:r>
          <w:sdt>
            <w:sdtPr>
              <w:rPr>
                <w:sz w:val="26"/>
                <w:szCs w:val="26"/>
                <w:rtl/>
              </w:rPr>
              <w:alias w:val="1171"/>
              <w:tag w:val="1171"/>
              <w:id w:val="257034231"/>
              <w:text w:multiLine="1"/>
            </w:sdtPr>
            <w:sdtEndPr/>
            <w:sdtContent>
              <w:r w:rsidR="001F5DB6">
                <w:rPr>
                  <w:b/>
                  <w:bCs/>
                  <w:noProof w:val="0"/>
                  <w:sz w:val="26"/>
                  <w:szCs w:val="26"/>
                  <w:rtl/>
                </w:rPr>
                <w:t>7460-10-24</w:t>
              </w:r>
            </w:sdtContent>
          </w:sdt>
          <w:r w:rsidR="00005C8B" w:rsidRPr="00FA4EAF">
            <w:rPr>
              <w:b/>
              <w:bCs/>
              <w:noProof w:val="0"/>
              <w:sz w:val="26"/>
              <w:szCs w:val="26"/>
              <w:rtl/>
            </w:rPr>
            <w:t xml:space="preserve"> </w:t>
          </w:r>
          <w:sdt>
            <w:sdtPr>
              <w:rPr>
                <w:sz w:val="26"/>
                <w:szCs w:val="26"/>
                <w:rtl/>
              </w:rPr>
              <w:alias w:val="1172"/>
              <w:tag w:val="1172"/>
              <w:id w:val="-595170033"/>
              <w:text w:multiLine="1"/>
            </w:sdtPr>
            <w:sdtEndPr/>
            <w:sdtContent>
              <w:r w:rsidR="001F5DB6">
                <w:rPr>
                  <w:b/>
                  <w:bCs/>
                  <w:noProof w:val="0"/>
                  <w:sz w:val="26"/>
                  <w:szCs w:val="26"/>
                  <w:rtl/>
                </w:rPr>
                <w:t>זכריה ואח' נ' ריימל יבוא ושיווק בע"מ ואח'</w:t>
              </w:r>
            </w:sdtContent>
          </w:sdt>
        </w:p>
        <w:p w:rsidR="007D45E3" w:rsidRPr="00FA4EAF" w:rsidRDefault="007D45E3" w:rsidP="007D45E3">
          <w:pPr>
            <w:rPr>
              <w:b/>
              <w:bCs/>
              <w:noProof w:val="0"/>
              <w:sz w:val="26"/>
              <w:szCs w:val="26"/>
              <w:rtl/>
            </w:rPr>
          </w:pPr>
        </w:p>
        <w:p w:rsidR="008D10B2" w:rsidRPr="00FA4EAF" w:rsidRDefault="007D45E3" w:rsidP="009B4939">
          <w:pPr>
            <w:rPr>
              <w:sz w:val="26"/>
              <w:szCs w:val="26"/>
              <w:rtl/>
            </w:rPr>
          </w:pPr>
          <w:r w:rsidRPr="00FA4EAF">
            <w:rPr>
              <w:rFonts w:hint="cs"/>
              <w:sz w:val="26"/>
              <w:szCs w:val="26"/>
              <w:rtl/>
            </w:rPr>
            <w:t xml:space="preserve">                                                                  </w:t>
          </w:r>
          <w:r w:rsidRPr="00FA4EAF">
            <w:rPr>
              <w:sz w:val="26"/>
              <w:szCs w:val="26"/>
              <w:rtl/>
            </w:rPr>
            <w:t xml:space="preserve"> </w:t>
          </w:r>
          <w:r w:rsidR="001173C6" w:rsidRPr="00FA4EAF">
            <w:rPr>
              <w:sz w:val="26"/>
              <w:szCs w:val="26"/>
              <w:rtl/>
            </w:rPr>
            <w:t xml:space="preserve"> </w:t>
          </w:r>
        </w:p>
      </w:tc>
    </w:tr>
  </w:tbl>
  <w:p w:rsidR="00694556" w:rsidRPr="00FA4EAF" w:rsidRDefault="00694556">
    <w:pPr>
      <w:pStyle w:val="a3"/>
      <w:rPr>
        <w:noProof w:val="0"/>
        <w:sz w:val="26"/>
        <w:szCs w:val="26"/>
        <w:rt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11E6" w:rsidRDefault="00FC11E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D52B1A"/>
    <w:multiLevelType w:val="hybridMultilevel"/>
    <w:tmpl w:val="05C6F9A8"/>
    <w:lvl w:ilvl="0" w:tplc="5CF822A6">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8A6001B"/>
    <w:multiLevelType w:val="hybridMultilevel"/>
    <w:tmpl w:val="B2C4B5E4"/>
    <w:lvl w:ilvl="0" w:tplc="5F9C772A">
      <w:start w:val="1"/>
      <w:numFmt w:val="decimal"/>
      <w:pStyle w:val="Ruller4"/>
      <w:lvlText w:val="%1."/>
      <w:lvlJc w:val="left"/>
      <w:pPr>
        <w:tabs>
          <w:tab w:val="num" w:pos="907"/>
        </w:tabs>
        <w:ind w:left="0" w:firstLine="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82016766"/>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Locale=&amp;quot;he-IL&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82016766&amp;lt;/CaseID&amp;gt;_x000d__x000a_        &amp;lt;CaseMonth&amp;gt;10&amp;lt;/CaseMonth&amp;gt;_x000d__x000a_        &amp;lt;CaseYear&amp;gt;2024&amp;lt;/CaseYear&amp;gt;_x000d__x000a_        &amp;lt;CaseNumber&amp;gt;7460&amp;lt;/CaseNumber&amp;gt;_x000d__x000a_        &amp;lt;NumeratorGroupID&amp;gt;1&amp;lt;/NumeratorGroupID&amp;gt;_x000d__x000a_        &amp;lt;CaseName&amp;gt;זכריה ואח&amp;#39; נ&amp;#39; ריימל יבוא ושיווק בע&amp;quot;מ ואח&amp;#39;&amp;lt;/CaseName&amp;gt;_x000d__x000a_        &amp;lt;CourtID&amp;gt;15&amp;lt;/CourtID&amp;gt;_x000d__x000a_        &amp;lt;CaseTypeID&amp;gt;1&amp;lt;/CaseTypeID&amp;gt;_x000d__x000a_        &amp;lt;CaseInterestID&amp;gt;97&amp;lt;/CaseInterestID&amp;gt;_x000d__x000a_        &amp;lt;CaseJudgeName&amp;gt;תמר סנונית פורר&amp;lt;/CaseJudgeName&amp;gt;_x000d__x000a_        &amp;lt;ProcedureID&amp;gt;1&amp;lt;/ProcedureID&amp;gt;_x000d__x000a_        &amp;lt;CaseStatusID&amp;gt;1&amp;lt;/CaseStatusID&amp;gt;_x000d__x000a_        &amp;lt;ProceedingID&amp;gt;1&amp;lt;/ProceedingID&amp;gt;_x000d__x000a_        &amp;lt;IsCaseLinked&amp;gt;false&amp;lt;/IsCaseLinked&amp;gt;_x000d__x000a_        &amp;lt;PrivilegeID&amp;gt;1&amp;lt;/PrivilegeID&amp;gt;_x000d__x000a_        &amp;lt;IsAppealingCaseExist&amp;gt;false&amp;lt;/IsAppealingCaseExist&amp;gt;_x000d__x000a_        &amp;lt;CaseDisplayIdentifier&amp;gt;7460-10-24&amp;lt;/CaseDisplayIdentifier&amp;gt;_x000d__x000a_        &amp;lt;CaseTypeDesc&amp;gt;ת&amp;quot;א&amp;lt;/CaseTypeDesc&amp;gt;_x000d__x000a_        &amp;lt;CourtDesc&amp;gt;המחוזי תל אביב - יפו&amp;lt;/CourtDesc&amp;gt;_x000d__x000a_        &amp;lt;CaseStageDesc&amp;gt;תיק אלקטרוני&amp;lt;/CaseStageDesc&amp;gt;_x000d__x000a_        &amp;lt;IsPendingExemptionDecision&amp;gt;false&amp;lt;/IsPendingExemptionDecision&amp;gt;_x000d__x000a_        &amp;lt;IsPendingEntitlementDecision&amp;gt;false&amp;lt;/IsPendingEntitlementDecision&amp;gt;_x000d__x000a_        &amp;lt;IsUnpaidFeeExist&amp;gt;false&amp;lt;/IsUnpaidFeeExist&amp;gt;_x000d__x000a_        &amp;lt;CasePreviousSessionDate&amp;gt;2024-11-11T04:30:00+02:00&amp;lt;/CasePreviousSessionDate&amp;gt;_x000d__x000a_        &amp;lt;CaseNextDeterminingTask&amp;gt;151&amp;lt;/CaseNextDeterminingTask&amp;gt;_x000d__x000a_        &amp;lt;TemporaryAidStatus&amp;gt;קיימות בקשות לסעדים זמניים בתיק&amp;lt;/TemporaryAidStatus&amp;gt;_x000d__x000a_        &amp;lt;CaseOpenDate&amp;gt;2024-10-06T13:36:00+03:00&amp;lt;/CaseOpenDate&amp;gt;_x000d__x000a_        &amp;lt;PleaTypeID&amp;gt;4&amp;lt;/PleaTypeID&amp;gt;_x000d__x000a_        &amp;lt;CourtLevelID&amp;gt;2&amp;lt;/CourtLevelID&amp;gt;_x000d__x000a_        &amp;lt;CourtLevelCaseTypeInterestID&amp;gt;298&amp;lt;/CourtLevelCaseTypeInterestID&amp;gt;_x000d__x000a_        &amp;lt;CaseJudgeFirstName&amp;gt;תמר&amp;lt;/CaseJudgeFirstName&amp;gt;_x000d__x000a_        &amp;lt;CaseJudgeLastName&amp;gt;סנונית פורר&amp;lt;/CaseJudgeLastName&amp;gt;_x000d__x000a_        &amp;lt;JudicalPersonID&amp;gt;032014706@GOV.IL&amp;lt;/JudicalPersonID&amp;gt;_x000d__x000a_        &amp;lt;IsJudicalPanel&amp;gt;false&amp;lt;/IsJudicalPanel&amp;gt;_x000d__x000a_        &amp;lt;CourtDisplayName&amp;gt;בית המשפט המחוזי בתל אביב -יפו&amp;lt;/CourtDisplayName&amp;gt;_x000d__x000a_        &amp;lt;IsAllStartDataCollected&amp;gt;true&amp;lt;/IsAllStartDataCollected&amp;gt;_x000d__x000a_        &amp;lt;CaseDesc&amp;gt;תגובת המשיבים לבקשה לסעדיים זמניים עלה ללשכת שו&amp;#39; תמר פורר&amp;lt;/CaseDesc&amp;gt;_x000d__x000a_        &amp;lt;isExistMinorSide&amp;gt;false&amp;lt;/isExistMinorSide&amp;gt;_x000d__x000a_        &amp;lt;isExistMinorWitness&amp;gt;false&amp;lt;/isExistMinorWitness&amp;gt;_x000d__x000a_        &amp;lt;CasePreviousSessionTypeID&amp;gt;29&amp;lt;/CasePreviousSessionTypeID&amp;gt;_x000d__x000a_        &amp;lt;ArchivingActivityID&amp;gt;1&amp;lt;/ArchivingActivityID&amp;gt;_x000d__x000a_        &amp;lt;IsAccessibilityRequired&amp;gt;false&amp;lt;/IsAccessibilityRequired&amp;gt;_x000d__x000a_        &amp;lt;IsDecisionTypeZaveElyon&amp;gt;false&amp;lt;/IsDecisionTypeZaveElyon&amp;gt;_x000d__x000a_        &amp;lt;IsFeePaid&amp;gt;tru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82016766&amp;lt;/CaseID&amp;gt;_x000d__x000a_        &amp;lt;CaseMonth&amp;gt;10&amp;lt;/CaseMonth&amp;gt;_x000d__x000a_        &amp;lt;CaseYear&amp;gt;2024&amp;lt;/CaseYear&amp;gt;_x000d__x000a_        &amp;lt;CaseNumber&amp;gt;7460&amp;lt;/CaseNumber&amp;gt;_x000d__x000a_        &amp;lt;NumeratorGroupID&amp;gt;1&amp;lt;/NumeratorGroupID&amp;gt;_x000d__x000a_        &amp;lt;CaseName&amp;gt;זכריה ואח&amp;#39; נ&amp;#39; ריימל יבוא ושיווק בע&amp;quot;מ ואח&amp;#39;&amp;lt;/CaseName&amp;gt;_x000d__x000a_        &amp;lt;CourtID&amp;gt;15&amp;lt;/CourtID&amp;gt;_x000d__x000a_        &amp;lt;CaseTypeID&amp;gt;1&amp;lt;/CaseTypeID&amp;gt;_x000d__x000a_        &amp;lt;CaseInterestID&amp;gt;97&amp;lt;/CaseInterestID&amp;gt;_x000d__x000a_        &amp;lt;CaseJudgeName&amp;gt;תמר סנונית פורר&amp;lt;/CaseJudgeName&amp;gt;_x000d__x000a_        &amp;lt;ProcedureID&amp;gt;1&amp;lt;/ProcedureID&amp;gt;_x000d__x000a_        &amp;lt;CaseStatusID&amp;gt;1&amp;lt;/CaseStatusID&amp;gt;_x000d__x000a_        &amp;lt;ProceedingID&amp;gt;1&amp;lt;/ProceedingID&amp;gt;_x000d__x000a_        &amp;lt;IsCaseLinked&amp;gt;false&amp;lt;/IsCaseLinked&amp;gt;_x000d__x000a_        &amp;lt;PrivilegeID&amp;gt;1&amp;lt;/PrivilegeID&amp;gt;_x000d__x000a_        &amp;lt;IsAppealingCaseExist&amp;gt;false&amp;lt;/IsAppealingCaseExist&amp;gt;_x000d__x000a_        &amp;lt;CaseDisplayIdentifier&amp;gt;7460-10-24&amp;lt;/CaseDisplayIdentifier&amp;gt;_x000d__x000a_        &amp;lt;CaseTypeDesc&amp;gt;ת&amp;quot;א&amp;lt;/CaseTypeDesc&amp;gt;_x000d__x000a_        &amp;lt;CourtDesc&amp;gt;המחוזי תל אביב - יפו&amp;lt;/CourtDesc&amp;gt;_x000d__x000a_        &amp;lt;CaseStageDesc&amp;gt;תיק אלקטרוני&amp;lt;/CaseStageDesc&amp;gt;_x000d__x000a_        &amp;lt;CaseNextDeterminingTask&amp;gt;151&amp;lt;/CaseNextDeterminingTask&amp;gt;_x000d__x000a_        &amp;lt;CaseOpenDate&amp;gt;2024-10-06T13:36:00+03:00&amp;lt;/CaseOpenDate&amp;gt;_x000d__x000a_        &amp;lt;PleaTypeID&amp;gt;4&amp;lt;/PleaTypeID&amp;gt;_x000d__x000a_        &amp;lt;CourtLevelID&amp;gt;2&amp;lt;/CourtLevelID&amp;gt;_x000d__x000a_        &amp;lt;CourtLevelCaseTypeInterestID&amp;gt;298&amp;lt;/CourtLevelCaseTypeInterestID&amp;gt;_x000d__x000a_        &amp;lt;CaseJudgeFirstName&amp;gt;תמר&amp;lt;/CaseJudgeFirstName&amp;gt;_x000d__x000a_        &amp;lt;CaseJudgeLastName&amp;gt;סנונית פורר&amp;lt;/CaseJudgeLastName&amp;gt;_x000d__x000a_        &amp;lt;JudicalPersonID&amp;gt;032014706@GOV.IL&amp;lt;/JudicalPersonID&amp;gt;_x000d__x000a_        &amp;lt;IsJudicalPanel&amp;gt;false&amp;lt;/IsJudicalPanel&amp;gt;_x000d__x000a_        &amp;lt;CourtDisplayName&amp;gt;בית המשפט המחוזי בתל אביב -יפו&amp;lt;/CourtDisplayName&amp;gt;_x000d__x000a_        &amp;lt;IsAllStartDataCollected&amp;gt;true&amp;lt;/IsAllStartDataCollected&amp;gt;_x000d__x000a_        &amp;lt;CaseDesc&amp;gt;תגובת המשיבים לבקשה לסעדיים זמניים עלה ללשכת שו&amp;#39; תמר פורר&amp;lt;/CaseDesc&amp;gt;_x000d__x000a_        &amp;lt;ArchivingActivityID&amp;gt;1&amp;lt;/ArchivingActivity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15"/>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 msdata:EnforceConstraints=&amp;quot;False&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 diffgr:hasChanges=&amp;quot;inserted&amp;quot;&amp;gt;_x000d__x000a_        &amp;lt;DecisionID&amp;gt;0&amp;lt;/DecisionID&amp;gt;_x000d__x000a_        &amp;lt;DecisionNumber&amp;gt;2&amp;lt;/DecisionNumber&amp;gt;_x000d__x000a_        &amp;lt;DecisionStatusID&amp;gt;1&amp;lt;/DecisionStatusID&amp;gt;_x000d__x000a_        &amp;lt;DecisionStatusChangeDate&amp;gt;2024-11-19T18:00:45.1122696+02:00&amp;lt;/DecisionStatusChangeDate&amp;gt;_x000d__x000a_        &amp;lt;DecisionSignatureDate&amp;gt;2024-11-19T18:00:45.1122696+02:00&amp;lt;/DecisionSignatureDate&amp;gt;_x000d__x000a_        &amp;lt;DecisionSignatureUserID&amp;gt;032014706@GOV.IL&amp;lt;/DecisionSignatureUserID&amp;gt;_x000d__x000a_        &amp;lt;DecisionCreateDate&amp;gt;2024-11-19T18:00:45.1122696+02:00&amp;lt;/DecisionCreateDate&amp;gt;_x000d__x000a_        &amp;lt;DecisionChangeDate&amp;gt;2024-11-19T18:00:45.1122696+02:00&amp;lt;/DecisionChangeDate&amp;gt;_x000d__x000a_        &amp;lt;DecisionChangeUserID&amp;gt;032014706@GOV.IL&amp;lt;/DecisionChangeUserID&amp;gt;_x000d__x000a_        &amp;lt;IsChosenDecision&amp;gt;true&amp;lt;/IsChosenDecision&amp;gt;_x000d__x000a_        &amp;lt;IsDecisionImplementationTask&amp;gt;true&amp;lt;/IsDecisionImplementationTask&amp;gt;_x000d__x000a_        &amp;lt;IsDecisionInProtocol&amp;gt;false&amp;lt;/IsDecisionInProtocol&amp;gt;_x000d__x000a_        &amp;lt;DecisionTypeID&amp;gt;1&amp;lt;/DecisionTypeID&amp;gt;_x000d__x000a_        &amp;lt;IsOnlyOneParty&amp;gt;true&amp;lt;/IsOnlyOneParty&amp;gt;_x000d__x000a_        &amp;lt;IsCanceledDecision&amp;gt;false&amp;lt;/IsCanceledDecision&amp;gt;_x000d__x000a_        &amp;lt;PrivilegeID&amp;gt;3&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32014706@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32014706@GOV.IL&amp;lt;/DecisionCreationUserID&amp;gt;_x000d__x000a_        &amp;lt;NotificationTypeID&amp;gt;1&amp;lt;/NotificationTypeID&amp;gt;_x000d__x000a_        &amp;lt;IsDecisionInNote&amp;gt;false&amp;lt;/IsDecisionInNote&amp;gt;_x000d__x000a_        &amp;lt;IsDecisionUrgency&amp;gt;tru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15&amp;lt;/DecisionNumberInCase&amp;gt;_x000d__x000a_      &amp;lt;/dt_Decision&amp;gt;_x000d__x000a_      &amp;lt;dt_DecisionCase diffgr:id=&amp;quot;dt_DecisionCase1&amp;quot; msdata:rowOrder=&amp;quot;0&amp;quot; diffgr:hasChanges=&amp;quot;inserted&amp;quot;&amp;gt;_x000d__x000a_        &amp;lt;DecisionID&amp;gt;0&amp;lt;/DecisionID&amp;gt;_x000d__x000a_        &amp;lt;CaseID&amp;gt;82016766&amp;lt;/CaseID&amp;gt;_x000d__x000a_        &amp;lt;IsOriginal&amp;gt;true&amp;lt;/IsOriginal&amp;gt;_x000d__x000a_        &amp;lt;IsDeleted&amp;gt;false&amp;lt;/IsDeleted&amp;gt;_x000d__x000a_      &amp;lt;/dt_DecisionCase&amp;gt;_x000d__x000a_      &amp;lt;dt_DecisionMotion diffgr:id=&amp;quot;dt_DecisionMotion1&amp;quot; msdata:rowOrder=&amp;quot;0&amp;quot; diffgr:hasChanges=&amp;quot;inserted&amp;quot;&amp;gt;_x000d__x000a_        &amp;lt;DecisionID&amp;gt;0&amp;lt;/DecisionID&amp;gt;_x000d__x000a_        &amp;lt;MotionID&amp;gt;109807529&amp;lt;/MotionID&amp;gt;_x000d__x000a_        &amp;lt;IsOriginalMotion&amp;gt;false&amp;lt;/IsOriginalMotion&amp;gt;_x000d__x000a_        &amp;lt;MotionName&amp;gt;בקשה של תובע 1 צו לא תעשה (צו מניעה) זמני &amp;lt;/MotionName&amp;gt;_x000d__x000a_      &amp;lt;/dt_DecisionMotion&amp;gt;_x000d__x000a_    &amp;lt;/DecisionDS&amp;gt;_x000d__x000a_  &amp;lt;/diffgr:diffgram&amp;gt;_x000d__x000a_&amp;lt;/DecisionDS&amp;gt;"/>
    <w:docVar w:name="NGCS.TemplateCaseInterestID" w:val="97"/>
    <w:docVar w:name="NGCS.TemplateCaseTypeID" w:val="1"/>
    <w:docVar w:name="NGCS.TemplateCategoryID" w:val="80"/>
    <w:docVar w:name="NGCS.TemplateCourtID" w:val="15"/>
    <w:docVar w:name="NGCS.TemplateProceedingID" w:val="1"/>
    <w:docVar w:name="SelectedDocumentID" w:val="457058724"/>
    <w:docVar w:name="WordClientAssemblyName" w:val="NGCS.Decision.ClientWordBL"/>
    <w:docVar w:name="WordClientClassName" w:val="NGCS.Decision.ClientWordBL.DecisionClient"/>
  </w:docVars>
  <w:rsids>
    <w:rsidRoot w:val="00694556"/>
    <w:rsid w:val="00000062"/>
    <w:rsid w:val="0000226B"/>
    <w:rsid w:val="00005C8B"/>
    <w:rsid w:val="00032081"/>
    <w:rsid w:val="000529D2"/>
    <w:rsid w:val="000564AB"/>
    <w:rsid w:val="00064FBD"/>
    <w:rsid w:val="00082AB2"/>
    <w:rsid w:val="000906FE"/>
    <w:rsid w:val="00096AF7"/>
    <w:rsid w:val="000B344B"/>
    <w:rsid w:val="000C3B0F"/>
    <w:rsid w:val="000C3B60"/>
    <w:rsid w:val="000E0DD2"/>
    <w:rsid w:val="000E3AF1"/>
    <w:rsid w:val="000F0BC8"/>
    <w:rsid w:val="000F0DD6"/>
    <w:rsid w:val="00107E6D"/>
    <w:rsid w:val="0011194C"/>
    <w:rsid w:val="0011424C"/>
    <w:rsid w:val="00116316"/>
    <w:rsid w:val="001173C6"/>
    <w:rsid w:val="001367BC"/>
    <w:rsid w:val="00144D2A"/>
    <w:rsid w:val="0014653E"/>
    <w:rsid w:val="00180519"/>
    <w:rsid w:val="00191C82"/>
    <w:rsid w:val="001B48A4"/>
    <w:rsid w:val="001C3FD7"/>
    <w:rsid w:val="001C4003"/>
    <w:rsid w:val="001D3441"/>
    <w:rsid w:val="001D4DBF"/>
    <w:rsid w:val="001E75CA"/>
    <w:rsid w:val="001F5DB6"/>
    <w:rsid w:val="002265FF"/>
    <w:rsid w:val="00271B56"/>
    <w:rsid w:val="00291593"/>
    <w:rsid w:val="00292178"/>
    <w:rsid w:val="002C344E"/>
    <w:rsid w:val="002E75E9"/>
    <w:rsid w:val="00307A6A"/>
    <w:rsid w:val="00307C40"/>
    <w:rsid w:val="00320433"/>
    <w:rsid w:val="003230C7"/>
    <w:rsid w:val="00327E50"/>
    <w:rsid w:val="0033597A"/>
    <w:rsid w:val="00343D89"/>
    <w:rsid w:val="00362612"/>
    <w:rsid w:val="0036743F"/>
    <w:rsid w:val="003715DD"/>
    <w:rsid w:val="003763AB"/>
    <w:rsid w:val="003823E0"/>
    <w:rsid w:val="003A4521"/>
    <w:rsid w:val="003D1C8C"/>
    <w:rsid w:val="0040096C"/>
    <w:rsid w:val="00414F1F"/>
    <w:rsid w:val="0043125D"/>
    <w:rsid w:val="0043502B"/>
    <w:rsid w:val="004443AC"/>
    <w:rsid w:val="00451E28"/>
    <w:rsid w:val="00462C62"/>
    <w:rsid w:val="00465D36"/>
    <w:rsid w:val="004C17EE"/>
    <w:rsid w:val="004C4BDF"/>
    <w:rsid w:val="004D1187"/>
    <w:rsid w:val="004D3AA0"/>
    <w:rsid w:val="004E1987"/>
    <w:rsid w:val="004E2E15"/>
    <w:rsid w:val="004E6E3C"/>
    <w:rsid w:val="00520898"/>
    <w:rsid w:val="00523621"/>
    <w:rsid w:val="00524986"/>
    <w:rsid w:val="005268F6"/>
    <w:rsid w:val="00534284"/>
    <w:rsid w:val="0054494A"/>
    <w:rsid w:val="00547DB7"/>
    <w:rsid w:val="005F4F09"/>
    <w:rsid w:val="0061431B"/>
    <w:rsid w:val="00617CEE"/>
    <w:rsid w:val="00622BAA"/>
    <w:rsid w:val="00622CAA"/>
    <w:rsid w:val="006306CF"/>
    <w:rsid w:val="00644E9A"/>
    <w:rsid w:val="00671BD5"/>
    <w:rsid w:val="006805C1"/>
    <w:rsid w:val="00686C21"/>
    <w:rsid w:val="006931C1"/>
    <w:rsid w:val="00694556"/>
    <w:rsid w:val="006C30C5"/>
    <w:rsid w:val="006D3B31"/>
    <w:rsid w:val="006E0D96"/>
    <w:rsid w:val="006E1A53"/>
    <w:rsid w:val="006F56E6"/>
    <w:rsid w:val="00704EDA"/>
    <w:rsid w:val="00721122"/>
    <w:rsid w:val="00744B1C"/>
    <w:rsid w:val="00753019"/>
    <w:rsid w:val="00754801"/>
    <w:rsid w:val="00795365"/>
    <w:rsid w:val="007A351D"/>
    <w:rsid w:val="007B7765"/>
    <w:rsid w:val="007C5BDD"/>
    <w:rsid w:val="007D45E3"/>
    <w:rsid w:val="007E6115"/>
    <w:rsid w:val="007F4609"/>
    <w:rsid w:val="008176A1"/>
    <w:rsid w:val="00820005"/>
    <w:rsid w:val="00840476"/>
    <w:rsid w:val="00844318"/>
    <w:rsid w:val="00863F5D"/>
    <w:rsid w:val="00870890"/>
    <w:rsid w:val="00873602"/>
    <w:rsid w:val="00875D12"/>
    <w:rsid w:val="008800CD"/>
    <w:rsid w:val="0088479D"/>
    <w:rsid w:val="00896889"/>
    <w:rsid w:val="008C5714"/>
    <w:rsid w:val="008D10B2"/>
    <w:rsid w:val="00903896"/>
    <w:rsid w:val="00906F3D"/>
    <w:rsid w:val="0094424E"/>
    <w:rsid w:val="00955642"/>
    <w:rsid w:val="009622DF"/>
    <w:rsid w:val="00967DFF"/>
    <w:rsid w:val="00994341"/>
    <w:rsid w:val="009B4939"/>
    <w:rsid w:val="009D1A48"/>
    <w:rsid w:val="009E1CE7"/>
    <w:rsid w:val="009E4EA5"/>
    <w:rsid w:val="009F164B"/>
    <w:rsid w:val="009F323C"/>
    <w:rsid w:val="00A3392B"/>
    <w:rsid w:val="00A83C5F"/>
    <w:rsid w:val="00A94B64"/>
    <w:rsid w:val="00AA3229"/>
    <w:rsid w:val="00AA7596"/>
    <w:rsid w:val="00AB5E52"/>
    <w:rsid w:val="00AC3B02"/>
    <w:rsid w:val="00AC3B7B"/>
    <w:rsid w:val="00AC5209"/>
    <w:rsid w:val="00AD00A6"/>
    <w:rsid w:val="00AE729E"/>
    <w:rsid w:val="00AE7752"/>
    <w:rsid w:val="00AF7FDA"/>
    <w:rsid w:val="00B5356E"/>
    <w:rsid w:val="00B809AD"/>
    <w:rsid w:val="00B80CBD"/>
    <w:rsid w:val="00B86096"/>
    <w:rsid w:val="00B95A71"/>
    <w:rsid w:val="00B964D9"/>
    <w:rsid w:val="00BA0A7C"/>
    <w:rsid w:val="00BA517C"/>
    <w:rsid w:val="00BB3D05"/>
    <w:rsid w:val="00BB73BE"/>
    <w:rsid w:val="00BC0E9D"/>
    <w:rsid w:val="00BC2D89"/>
    <w:rsid w:val="00BD6531"/>
    <w:rsid w:val="00BE05B2"/>
    <w:rsid w:val="00BF1908"/>
    <w:rsid w:val="00BF7F3B"/>
    <w:rsid w:val="00C22D93"/>
    <w:rsid w:val="00C31120"/>
    <w:rsid w:val="00C34482"/>
    <w:rsid w:val="00C43648"/>
    <w:rsid w:val="00C50A9F"/>
    <w:rsid w:val="00C53EB8"/>
    <w:rsid w:val="00C642FA"/>
    <w:rsid w:val="00C65565"/>
    <w:rsid w:val="00CC7622"/>
    <w:rsid w:val="00CD608F"/>
    <w:rsid w:val="00D27982"/>
    <w:rsid w:val="00D33B86"/>
    <w:rsid w:val="00D53924"/>
    <w:rsid w:val="00D55D0C"/>
    <w:rsid w:val="00D627CF"/>
    <w:rsid w:val="00D74378"/>
    <w:rsid w:val="00D96D8C"/>
    <w:rsid w:val="00DA6649"/>
    <w:rsid w:val="00DC1259"/>
    <w:rsid w:val="00DC1BD2"/>
    <w:rsid w:val="00DC2571"/>
    <w:rsid w:val="00DC487C"/>
    <w:rsid w:val="00DE6BF6"/>
    <w:rsid w:val="00E1068A"/>
    <w:rsid w:val="00E25884"/>
    <w:rsid w:val="00E25B55"/>
    <w:rsid w:val="00E31C2B"/>
    <w:rsid w:val="00E37181"/>
    <w:rsid w:val="00E5426A"/>
    <w:rsid w:val="00E54642"/>
    <w:rsid w:val="00E80CBE"/>
    <w:rsid w:val="00E962E3"/>
    <w:rsid w:val="00EB6C79"/>
    <w:rsid w:val="00EC37E9"/>
    <w:rsid w:val="00ED03C6"/>
    <w:rsid w:val="00F06995"/>
    <w:rsid w:val="00F13623"/>
    <w:rsid w:val="00F44D1D"/>
    <w:rsid w:val="00F84B6D"/>
    <w:rsid w:val="00FA4EAF"/>
    <w:rsid w:val="00FA5FDA"/>
    <w:rsid w:val="00FB6AB3"/>
    <w:rsid w:val="00FC11E6"/>
    <w:rsid w:val="00FD1419"/>
    <w:rsid w:val="00FD79E4"/>
    <w:rsid w:val="00FE2894"/>
    <w:rsid w:val="00FF6C6D"/>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68256EE-47AD-44DB-8A05-998AFD0ED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table" w:customStyle="1" w:styleId="1">
    <w:name w:val="טבלת רשת1"/>
    <w:basedOn w:val="a1"/>
    <w:next w:val="a9"/>
    <w:rsid w:val="001C4003"/>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Placeholder Text"/>
    <w:basedOn w:val="a0"/>
    <w:uiPriority w:val="99"/>
    <w:semiHidden/>
    <w:rsid w:val="003230C7"/>
    <w:rPr>
      <w:color w:val="808080"/>
    </w:rPr>
  </w:style>
  <w:style w:type="character" w:styleId="Hyperlink">
    <w:name w:val="Hyperlink"/>
    <w:semiHidden/>
    <w:unhideWhenUsed/>
    <w:rsid w:val="00FC11E6"/>
    <w:rPr>
      <w:color w:val="0000FF"/>
      <w:u w:val="single"/>
    </w:rPr>
  </w:style>
  <w:style w:type="paragraph" w:styleId="ad">
    <w:name w:val="List Paragraph"/>
    <w:basedOn w:val="a"/>
    <w:uiPriority w:val="34"/>
    <w:qFormat/>
    <w:rsid w:val="00FC11E6"/>
    <w:pPr>
      <w:spacing w:after="160" w:line="254" w:lineRule="auto"/>
      <w:ind w:left="720"/>
      <w:contextualSpacing/>
    </w:pPr>
    <w:rPr>
      <w:rFonts w:asciiTheme="minorHAnsi" w:eastAsiaTheme="minorHAnsi" w:hAnsiTheme="minorHAnsi" w:cstheme="minorBidi"/>
      <w:noProof w:val="0"/>
      <w:sz w:val="22"/>
      <w:szCs w:val="22"/>
    </w:rPr>
  </w:style>
  <w:style w:type="paragraph" w:customStyle="1" w:styleId="Ruller4">
    <w:name w:val="Ruller 4 ממוספר"/>
    <w:basedOn w:val="a"/>
    <w:next w:val="a"/>
    <w:rsid w:val="00FC11E6"/>
    <w:pPr>
      <w:numPr>
        <w:numId w:val="1"/>
      </w:numPr>
      <w:tabs>
        <w:tab w:val="left" w:pos="800"/>
      </w:tabs>
      <w:overflowPunct w:val="0"/>
      <w:autoSpaceDE w:val="0"/>
      <w:autoSpaceDN w:val="0"/>
      <w:adjustRightInd w:val="0"/>
      <w:spacing w:line="360" w:lineRule="auto"/>
      <w:jc w:val="both"/>
    </w:pPr>
    <w:rPr>
      <w:rFonts w:ascii="Garamond" w:hAnsi="Garamond" w:cs="FrankRuehl"/>
      <w:noProof w:val="0"/>
      <w:spacing w:val="10"/>
      <w:szCs w:val="28"/>
    </w:rPr>
  </w:style>
  <w:style w:type="character" w:customStyle="1" w:styleId="apple-converted-space">
    <w:name w:val="apple-converted-space"/>
    <w:basedOn w:val="a0"/>
    <w:rsid w:val="00FC11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1124219">
      <w:bodyDiv w:val="1"/>
      <w:marLeft w:val="0"/>
      <w:marRight w:val="0"/>
      <w:marTop w:val="0"/>
      <w:marBottom w:val="0"/>
      <w:divBdr>
        <w:top w:val="none" w:sz="0" w:space="0" w:color="auto"/>
        <w:left w:val="none" w:sz="0" w:space="0" w:color="auto"/>
        <w:bottom w:val="none" w:sz="0" w:space="0" w:color="auto"/>
        <w:right w:val="none" w:sz="0" w:space="0" w:color="auto"/>
      </w:divBdr>
    </w:div>
    <w:div w:id="770710157">
      <w:bodyDiv w:val="1"/>
      <w:marLeft w:val="0"/>
      <w:marRight w:val="0"/>
      <w:marTop w:val="0"/>
      <w:marBottom w:val="0"/>
      <w:divBdr>
        <w:top w:val="none" w:sz="0" w:space="0" w:color="auto"/>
        <w:left w:val="none" w:sz="0" w:space="0" w:color="auto"/>
        <w:bottom w:val="none" w:sz="0" w:space="0" w:color="auto"/>
        <w:right w:val="none" w:sz="0" w:space="0" w:color="auto"/>
      </w:divBdr>
    </w:div>
    <w:div w:id="1307122835">
      <w:bodyDiv w:val="1"/>
      <w:marLeft w:val="0"/>
      <w:marRight w:val="0"/>
      <w:marTop w:val="0"/>
      <w:marBottom w:val="0"/>
      <w:divBdr>
        <w:top w:val="none" w:sz="0" w:space="0" w:color="auto"/>
        <w:left w:val="none" w:sz="0" w:space="0" w:color="auto"/>
        <w:bottom w:val="none" w:sz="0" w:space="0" w:color="auto"/>
        <w:right w:val="none" w:sz="0" w:space="0" w:color="auto"/>
      </w:divBdr>
    </w:div>
    <w:div w:id="1432820806">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1739401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glossaryDocument" Target="glossary/document.xml"/><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2.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460D38E05664FF79D4EFF282EF8EC99"/>
        <w:category>
          <w:name w:val="כללי"/>
          <w:gallery w:val="placeholder"/>
        </w:category>
        <w:types>
          <w:type w:val="bbPlcHdr"/>
        </w:types>
        <w:behaviors>
          <w:behavior w:val="content"/>
        </w:behaviors>
        <w:guid w:val="{FD09B0DC-A014-4BFE-8938-8AD9210BC601}"/>
      </w:docPartPr>
      <w:docPartBody>
        <w:p w:rsidR="00345C9D" w:rsidRDefault="003E1A82" w:rsidP="003E1A82">
          <w:pPr>
            <w:pStyle w:val="E460D38E05664FF79D4EFF282EF8EC9918"/>
          </w:pPr>
          <w:r>
            <w:rPr>
              <w:rFonts w:hint="cs"/>
              <w:rtl/>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FrankRuehl">
    <w:panose1 w:val="020E0503060101010101"/>
    <w:charset w:val="00"/>
    <w:family w:val="swiss"/>
    <w:pitch w:val="variable"/>
    <w:sig w:usb0="00000803" w:usb1="00000000" w:usb2="00000000" w:usb3="00000000" w:csb0="00000021" w:csb1="00000000"/>
  </w:font>
  <w:font w:name="Miriam">
    <w:panose1 w:val="020B0502050101010101"/>
    <w:charset w:val="00"/>
    <w:family w:val="swiss"/>
    <w:pitch w:val="variable"/>
    <w:sig w:usb0="00000803" w:usb1="00000000" w:usb2="00000000" w:usb3="00000000" w:csb0="00000021" w:csb1="00000000"/>
  </w:font>
  <w:font w:name="Arial TUR">
    <w:altName w:val="Arial"/>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8CA"/>
    <w:rsid w:val="000A4ACE"/>
    <w:rsid w:val="002D02C4"/>
    <w:rsid w:val="002E734C"/>
    <w:rsid w:val="00334638"/>
    <w:rsid w:val="00345C9D"/>
    <w:rsid w:val="003E1A82"/>
    <w:rsid w:val="0048651F"/>
    <w:rsid w:val="00556D67"/>
    <w:rsid w:val="00793995"/>
    <w:rsid w:val="007C6F98"/>
    <w:rsid w:val="007E254A"/>
    <w:rsid w:val="008B4366"/>
    <w:rsid w:val="009133C7"/>
    <w:rsid w:val="009178E4"/>
    <w:rsid w:val="00961B27"/>
    <w:rsid w:val="00A13CC3"/>
    <w:rsid w:val="00AA7CE3"/>
    <w:rsid w:val="00B91FA3"/>
    <w:rsid w:val="00C96C06"/>
    <w:rsid w:val="00E31BF6"/>
    <w:rsid w:val="00E81DB1"/>
    <w:rsid w:val="00F04DC1"/>
    <w:rsid w:val="00F4674E"/>
    <w:rsid w:val="00F678CA"/>
    <w:rsid w:val="00FE153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1A82"/>
    <w:rPr>
      <w:color w:val="808080"/>
    </w:rPr>
  </w:style>
  <w:style w:type="paragraph" w:customStyle="1" w:styleId="3266F4EFF61346678E872C8DE3DE67FF">
    <w:name w:val="3266F4EFF61346678E872C8DE3DE67FF"/>
    <w:rsid w:val="00E81DB1"/>
    <w:pPr>
      <w:tabs>
        <w:tab w:val="center" w:pos="4153"/>
        <w:tab w:val="right" w:pos="8306"/>
      </w:tabs>
      <w:bidi/>
      <w:spacing w:after="0" w:line="240" w:lineRule="auto"/>
    </w:pPr>
    <w:rPr>
      <w:rFonts w:ascii="Times New Roman" w:eastAsia="Times New Roman" w:hAnsi="Times New Roman" w:cs="David"/>
      <w:noProof/>
      <w:sz w:val="24"/>
      <w:szCs w:val="24"/>
    </w:rPr>
  </w:style>
  <w:style w:type="paragraph" w:customStyle="1" w:styleId="79C68C3B2E1240EF81164AD0EB5BB65A">
    <w:name w:val="79C68C3B2E1240EF81164AD0EB5BB65A"/>
    <w:rsid w:val="009133C7"/>
    <w:pPr>
      <w:bidi/>
      <w:spacing w:after="0" w:line="240" w:lineRule="auto"/>
    </w:pPr>
    <w:rPr>
      <w:rFonts w:ascii="Times New Roman" w:eastAsia="Times New Roman" w:hAnsi="Times New Roman" w:cs="David"/>
      <w:noProof/>
      <w:sz w:val="24"/>
      <w:szCs w:val="24"/>
    </w:rPr>
  </w:style>
  <w:style w:type="paragraph" w:customStyle="1" w:styleId="6DDB045A1ED4458FB4FCDE8BAC3E62FB">
    <w:name w:val="6DDB045A1ED4458FB4FCDE8BAC3E62FB"/>
    <w:rsid w:val="0048651F"/>
    <w:pPr>
      <w:bidi/>
    </w:pPr>
  </w:style>
  <w:style w:type="paragraph" w:customStyle="1" w:styleId="15866E191BA44679A2A492AE971636DF">
    <w:name w:val="15866E191BA44679A2A492AE971636DF"/>
    <w:rsid w:val="0048651F"/>
    <w:pPr>
      <w:bidi/>
    </w:pPr>
  </w:style>
  <w:style w:type="paragraph" w:customStyle="1" w:styleId="C79BB8F1E1E9479C8BA98642BD7F886D">
    <w:name w:val="C79BB8F1E1E9479C8BA98642BD7F886D"/>
    <w:rsid w:val="002D02C4"/>
    <w:pPr>
      <w:bidi/>
      <w:spacing w:after="0" w:line="240" w:lineRule="auto"/>
    </w:pPr>
    <w:rPr>
      <w:rFonts w:ascii="Times New Roman" w:eastAsia="Times New Roman" w:hAnsi="Times New Roman" w:cs="David"/>
      <w:noProof/>
      <w:sz w:val="24"/>
      <w:szCs w:val="24"/>
    </w:rPr>
  </w:style>
  <w:style w:type="paragraph" w:customStyle="1" w:styleId="40BA799C25574A3E968931CFC6B1C9EB">
    <w:name w:val="40BA799C25574A3E968931CFC6B1C9EB"/>
    <w:rsid w:val="00556D67"/>
    <w:pPr>
      <w:bidi/>
      <w:spacing w:after="0" w:line="240" w:lineRule="auto"/>
    </w:pPr>
    <w:rPr>
      <w:rFonts w:ascii="Times New Roman" w:eastAsia="Times New Roman" w:hAnsi="Times New Roman" w:cs="David"/>
      <w:noProof/>
      <w:sz w:val="24"/>
      <w:szCs w:val="24"/>
    </w:rPr>
  </w:style>
  <w:style w:type="paragraph" w:customStyle="1" w:styleId="4E3A846B310946918D99CC7A6B690AAD">
    <w:name w:val="4E3A846B310946918D99CC7A6B690AAD"/>
    <w:rsid w:val="00793995"/>
    <w:pPr>
      <w:bidi/>
      <w:spacing w:after="0" w:line="240" w:lineRule="auto"/>
    </w:pPr>
    <w:rPr>
      <w:rFonts w:ascii="Times New Roman" w:eastAsia="Times New Roman" w:hAnsi="Times New Roman" w:cs="David"/>
      <w:noProof/>
      <w:sz w:val="24"/>
      <w:szCs w:val="24"/>
    </w:rPr>
  </w:style>
  <w:style w:type="paragraph" w:customStyle="1" w:styleId="C72888B05FB64576995A93B63D01A109">
    <w:name w:val="C72888B05FB64576995A93B63D01A109"/>
    <w:rsid w:val="008B4366"/>
    <w:pPr>
      <w:bidi/>
      <w:spacing w:after="0" w:line="240" w:lineRule="auto"/>
    </w:pPr>
    <w:rPr>
      <w:rFonts w:ascii="Times New Roman" w:eastAsia="Times New Roman" w:hAnsi="Times New Roman" w:cs="David"/>
      <w:noProof/>
      <w:sz w:val="24"/>
      <w:szCs w:val="24"/>
    </w:rPr>
  </w:style>
  <w:style w:type="paragraph" w:customStyle="1" w:styleId="EA8A7ADAA12F49C8AFDBD52997853A8A">
    <w:name w:val="EA8A7ADAA12F49C8AFDBD52997853A8A"/>
    <w:rsid w:val="00C96C06"/>
    <w:pPr>
      <w:bidi/>
      <w:spacing w:after="0" w:line="240" w:lineRule="auto"/>
    </w:pPr>
    <w:rPr>
      <w:rFonts w:ascii="Times New Roman" w:eastAsia="Times New Roman" w:hAnsi="Times New Roman" w:cs="David"/>
      <w:noProof/>
      <w:sz w:val="24"/>
      <w:szCs w:val="24"/>
    </w:rPr>
  </w:style>
  <w:style w:type="paragraph" w:customStyle="1" w:styleId="07E63041087440578503CBB90E7CFB38">
    <w:name w:val="07E63041087440578503CBB90E7CFB38"/>
    <w:rsid w:val="00B91FA3"/>
    <w:pPr>
      <w:bidi/>
      <w:spacing w:after="0" w:line="240" w:lineRule="auto"/>
    </w:pPr>
    <w:rPr>
      <w:rFonts w:ascii="Times New Roman" w:eastAsia="Times New Roman" w:hAnsi="Times New Roman" w:cs="David"/>
      <w:noProof/>
      <w:sz w:val="24"/>
      <w:szCs w:val="24"/>
    </w:rPr>
  </w:style>
  <w:style w:type="paragraph" w:customStyle="1" w:styleId="B7F77638D590467CBF4FB02B62D16BA8">
    <w:name w:val="B7F77638D590467CBF4FB02B62D16BA8"/>
    <w:rsid w:val="007C6F98"/>
    <w:pPr>
      <w:bidi/>
      <w:spacing w:after="0" w:line="240" w:lineRule="auto"/>
    </w:pPr>
    <w:rPr>
      <w:rFonts w:ascii="Times New Roman" w:eastAsia="Times New Roman" w:hAnsi="Times New Roman" w:cs="David"/>
      <w:noProof/>
      <w:sz w:val="24"/>
      <w:szCs w:val="24"/>
    </w:rPr>
  </w:style>
  <w:style w:type="paragraph" w:customStyle="1" w:styleId="E460D38E05664FF79D4EFF282EF8EC99">
    <w:name w:val="E460D38E05664FF79D4EFF282EF8EC99"/>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1">
    <w:name w:val="E460D38E05664FF79D4EFF282EF8EC991"/>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2">
    <w:name w:val="E460D38E05664FF79D4EFF282EF8EC992"/>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3">
    <w:name w:val="E460D38E05664FF79D4EFF282EF8EC993"/>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4">
    <w:name w:val="E460D38E05664FF79D4EFF282EF8EC994"/>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5">
    <w:name w:val="E460D38E05664FF79D4EFF282EF8EC995"/>
    <w:rsid w:val="00345C9D"/>
    <w:pPr>
      <w:bidi/>
      <w:spacing w:after="0" w:line="240" w:lineRule="auto"/>
    </w:pPr>
    <w:rPr>
      <w:rFonts w:ascii="Times New Roman" w:eastAsia="Times New Roman" w:hAnsi="Times New Roman" w:cs="David"/>
      <w:noProof/>
      <w:sz w:val="24"/>
      <w:szCs w:val="24"/>
    </w:rPr>
  </w:style>
  <w:style w:type="paragraph" w:customStyle="1" w:styleId="396F6B356EA448168635E2E2621F6F1B">
    <w:name w:val="396F6B356EA448168635E2E2621F6F1B"/>
    <w:rsid w:val="00345C9D"/>
    <w:pPr>
      <w:bidi/>
      <w:spacing w:after="160" w:line="259" w:lineRule="auto"/>
    </w:pPr>
  </w:style>
  <w:style w:type="paragraph" w:customStyle="1" w:styleId="E460D38E05664FF79D4EFF282EF8EC996">
    <w:name w:val="E460D38E05664FF79D4EFF282EF8EC996"/>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7">
    <w:name w:val="E460D38E05664FF79D4EFF282EF8EC997"/>
    <w:rsid w:val="00345C9D"/>
    <w:pPr>
      <w:bidi/>
      <w:spacing w:after="0" w:line="240" w:lineRule="auto"/>
    </w:pPr>
    <w:rPr>
      <w:rFonts w:ascii="Times New Roman" w:eastAsia="Times New Roman" w:hAnsi="Times New Roman" w:cs="David"/>
      <w:noProof/>
      <w:sz w:val="24"/>
      <w:szCs w:val="24"/>
    </w:rPr>
  </w:style>
  <w:style w:type="paragraph" w:customStyle="1" w:styleId="D290653DA13E4E738B7E725F79D73329">
    <w:name w:val="D290653DA13E4E738B7E725F79D73329"/>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8">
    <w:name w:val="E460D38E05664FF79D4EFF282EF8EC998"/>
    <w:rsid w:val="00345C9D"/>
    <w:pPr>
      <w:bidi/>
      <w:spacing w:after="0" w:line="240" w:lineRule="auto"/>
    </w:pPr>
    <w:rPr>
      <w:rFonts w:ascii="Times New Roman" w:eastAsia="Times New Roman" w:hAnsi="Times New Roman" w:cs="David"/>
      <w:noProof/>
      <w:sz w:val="24"/>
      <w:szCs w:val="24"/>
    </w:rPr>
  </w:style>
  <w:style w:type="paragraph" w:customStyle="1" w:styleId="D290653DA13E4E738B7E725F79D733291">
    <w:name w:val="D290653DA13E4E738B7E725F79D733291"/>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9">
    <w:name w:val="E460D38E05664FF79D4EFF282EF8EC999"/>
    <w:rsid w:val="00E31BF6"/>
    <w:pPr>
      <w:bidi/>
      <w:spacing w:after="0" w:line="240" w:lineRule="auto"/>
    </w:pPr>
    <w:rPr>
      <w:rFonts w:ascii="Times New Roman" w:eastAsia="Times New Roman" w:hAnsi="Times New Roman" w:cs="David"/>
      <w:noProof/>
      <w:sz w:val="24"/>
      <w:szCs w:val="24"/>
    </w:rPr>
  </w:style>
  <w:style w:type="paragraph" w:customStyle="1" w:styleId="D290653DA13E4E738B7E725F79D733292">
    <w:name w:val="D290653DA13E4E738B7E725F79D733292"/>
    <w:rsid w:val="00E31BF6"/>
    <w:pPr>
      <w:bidi/>
      <w:spacing w:after="0" w:line="240" w:lineRule="auto"/>
    </w:pPr>
    <w:rPr>
      <w:rFonts w:ascii="Times New Roman" w:eastAsia="Times New Roman" w:hAnsi="Times New Roman" w:cs="David"/>
      <w:noProof/>
      <w:sz w:val="24"/>
      <w:szCs w:val="24"/>
    </w:rPr>
  </w:style>
  <w:style w:type="paragraph" w:customStyle="1" w:styleId="BDEC6EF4A26446AEA2E1516382A0B8E3">
    <w:name w:val="BDEC6EF4A26446AEA2E1516382A0B8E3"/>
    <w:rsid w:val="00E31BF6"/>
    <w:pPr>
      <w:bidi/>
      <w:spacing w:after="160" w:line="259" w:lineRule="auto"/>
    </w:pPr>
  </w:style>
  <w:style w:type="paragraph" w:customStyle="1" w:styleId="74FAC0D4100349AAB7CFF87C68038087">
    <w:name w:val="74FAC0D4100349AAB7CFF87C68038087"/>
    <w:rsid w:val="00E31BF6"/>
    <w:pPr>
      <w:bidi/>
      <w:spacing w:after="160" w:line="259" w:lineRule="auto"/>
    </w:pPr>
  </w:style>
  <w:style w:type="paragraph" w:customStyle="1" w:styleId="E5D38D1255CA4A599DDADA0AE1A5590E">
    <w:name w:val="E5D38D1255CA4A599DDADA0AE1A5590E"/>
    <w:rsid w:val="00E31BF6"/>
    <w:pPr>
      <w:bidi/>
      <w:spacing w:after="160" w:line="259" w:lineRule="auto"/>
    </w:pPr>
  </w:style>
  <w:style w:type="paragraph" w:customStyle="1" w:styleId="B486AC440BF14F3BBBD42CAB0606FAF0">
    <w:name w:val="B486AC440BF14F3BBBD42CAB0606FAF0"/>
    <w:rsid w:val="00E31BF6"/>
    <w:pPr>
      <w:bidi/>
      <w:spacing w:after="160" w:line="259" w:lineRule="auto"/>
    </w:pPr>
  </w:style>
  <w:style w:type="paragraph" w:customStyle="1" w:styleId="D4BA11CE55FB47E4943078C6F3A24A5F">
    <w:name w:val="D4BA11CE55FB47E4943078C6F3A24A5F"/>
    <w:rsid w:val="00E31BF6"/>
    <w:pPr>
      <w:bidi/>
      <w:spacing w:after="160" w:line="259" w:lineRule="auto"/>
    </w:pPr>
  </w:style>
  <w:style w:type="paragraph" w:customStyle="1" w:styleId="BDEC6EF4A26446AEA2E1516382A0B8E31">
    <w:name w:val="BDEC6EF4A26446AEA2E1516382A0B8E31"/>
    <w:rsid w:val="009178E4"/>
    <w:pPr>
      <w:bidi/>
      <w:spacing w:after="0" w:line="240" w:lineRule="auto"/>
    </w:pPr>
    <w:rPr>
      <w:rFonts w:ascii="Times New Roman" w:eastAsia="Times New Roman" w:hAnsi="Times New Roman" w:cs="David"/>
      <w:noProof/>
      <w:sz w:val="24"/>
      <w:szCs w:val="24"/>
    </w:rPr>
  </w:style>
  <w:style w:type="paragraph" w:customStyle="1" w:styleId="74FAC0D4100349AAB7CFF87C680380871">
    <w:name w:val="74FAC0D4100349AAB7CFF87C680380871"/>
    <w:rsid w:val="009178E4"/>
    <w:pPr>
      <w:bidi/>
      <w:spacing w:after="0" w:line="240" w:lineRule="auto"/>
    </w:pPr>
    <w:rPr>
      <w:rFonts w:ascii="Times New Roman" w:eastAsia="Times New Roman" w:hAnsi="Times New Roman" w:cs="David"/>
      <w:noProof/>
      <w:sz w:val="24"/>
      <w:szCs w:val="24"/>
    </w:rPr>
  </w:style>
  <w:style w:type="paragraph" w:customStyle="1" w:styleId="E5D38D1255CA4A599DDADA0AE1A5590E1">
    <w:name w:val="E5D38D1255CA4A599DDADA0AE1A5590E1"/>
    <w:rsid w:val="009178E4"/>
    <w:pPr>
      <w:bidi/>
      <w:spacing w:after="0" w:line="240" w:lineRule="auto"/>
    </w:pPr>
    <w:rPr>
      <w:rFonts w:ascii="Times New Roman" w:eastAsia="Times New Roman" w:hAnsi="Times New Roman" w:cs="David"/>
      <w:noProof/>
      <w:sz w:val="24"/>
      <w:szCs w:val="24"/>
    </w:rPr>
  </w:style>
  <w:style w:type="paragraph" w:customStyle="1" w:styleId="B486AC440BF14F3BBBD42CAB0606FAF01">
    <w:name w:val="B486AC440BF14F3BBBD42CAB0606FAF01"/>
    <w:rsid w:val="009178E4"/>
    <w:pPr>
      <w:bidi/>
      <w:spacing w:after="0" w:line="240" w:lineRule="auto"/>
    </w:pPr>
    <w:rPr>
      <w:rFonts w:ascii="Times New Roman" w:eastAsia="Times New Roman" w:hAnsi="Times New Roman" w:cs="David"/>
      <w:noProof/>
      <w:sz w:val="24"/>
      <w:szCs w:val="24"/>
    </w:rPr>
  </w:style>
  <w:style w:type="paragraph" w:customStyle="1" w:styleId="D4BA11CE55FB47E4943078C6F3A24A5F1">
    <w:name w:val="D4BA11CE55FB47E4943078C6F3A24A5F1"/>
    <w:rsid w:val="009178E4"/>
    <w:pPr>
      <w:bidi/>
      <w:spacing w:after="0" w:line="240" w:lineRule="auto"/>
    </w:pPr>
    <w:rPr>
      <w:rFonts w:ascii="Times New Roman" w:eastAsia="Times New Roman" w:hAnsi="Times New Roman" w:cs="David"/>
      <w:noProof/>
      <w:sz w:val="24"/>
      <w:szCs w:val="24"/>
    </w:rPr>
  </w:style>
  <w:style w:type="paragraph" w:customStyle="1" w:styleId="E460D38E05664FF79D4EFF282EF8EC9910">
    <w:name w:val="E460D38E05664FF79D4EFF282EF8EC9910"/>
    <w:rsid w:val="009178E4"/>
    <w:pPr>
      <w:bidi/>
      <w:spacing w:after="0" w:line="240" w:lineRule="auto"/>
    </w:pPr>
    <w:rPr>
      <w:rFonts w:ascii="Times New Roman" w:eastAsia="Times New Roman" w:hAnsi="Times New Roman" w:cs="David"/>
      <w:noProof/>
      <w:sz w:val="24"/>
      <w:szCs w:val="24"/>
    </w:rPr>
  </w:style>
  <w:style w:type="paragraph" w:customStyle="1" w:styleId="D290653DA13E4E738B7E725F79D733293">
    <w:name w:val="D290653DA13E4E738B7E725F79D733293"/>
    <w:rsid w:val="009178E4"/>
    <w:pPr>
      <w:bidi/>
      <w:spacing w:after="0" w:line="240" w:lineRule="auto"/>
    </w:pPr>
    <w:rPr>
      <w:rFonts w:ascii="Times New Roman" w:eastAsia="Times New Roman" w:hAnsi="Times New Roman" w:cs="David"/>
      <w:noProof/>
      <w:sz w:val="24"/>
      <w:szCs w:val="24"/>
    </w:rPr>
  </w:style>
  <w:style w:type="paragraph" w:customStyle="1" w:styleId="BDEC6EF4A26446AEA2E1516382A0B8E32">
    <w:name w:val="BDEC6EF4A26446AEA2E1516382A0B8E32"/>
    <w:rsid w:val="000A4ACE"/>
    <w:pPr>
      <w:bidi/>
      <w:spacing w:after="0" w:line="240" w:lineRule="auto"/>
    </w:pPr>
    <w:rPr>
      <w:rFonts w:ascii="Times New Roman" w:eastAsia="Times New Roman" w:hAnsi="Times New Roman" w:cs="David"/>
      <w:noProof/>
      <w:sz w:val="24"/>
      <w:szCs w:val="24"/>
    </w:rPr>
  </w:style>
  <w:style w:type="paragraph" w:customStyle="1" w:styleId="74FAC0D4100349AAB7CFF87C680380872">
    <w:name w:val="74FAC0D4100349AAB7CFF87C680380872"/>
    <w:rsid w:val="000A4ACE"/>
    <w:pPr>
      <w:bidi/>
      <w:spacing w:after="0" w:line="240" w:lineRule="auto"/>
    </w:pPr>
    <w:rPr>
      <w:rFonts w:ascii="Times New Roman" w:eastAsia="Times New Roman" w:hAnsi="Times New Roman" w:cs="David"/>
      <w:noProof/>
      <w:sz w:val="24"/>
      <w:szCs w:val="24"/>
    </w:rPr>
  </w:style>
  <w:style w:type="paragraph" w:customStyle="1" w:styleId="E5D38D1255CA4A599DDADA0AE1A5590E2">
    <w:name w:val="E5D38D1255CA4A599DDADA0AE1A5590E2"/>
    <w:rsid w:val="000A4ACE"/>
    <w:pPr>
      <w:bidi/>
      <w:spacing w:after="0" w:line="240" w:lineRule="auto"/>
    </w:pPr>
    <w:rPr>
      <w:rFonts w:ascii="Times New Roman" w:eastAsia="Times New Roman" w:hAnsi="Times New Roman" w:cs="David"/>
      <w:noProof/>
      <w:sz w:val="24"/>
      <w:szCs w:val="24"/>
    </w:rPr>
  </w:style>
  <w:style w:type="paragraph" w:customStyle="1" w:styleId="B486AC440BF14F3BBBD42CAB0606FAF02">
    <w:name w:val="B486AC440BF14F3BBBD42CAB0606FAF02"/>
    <w:rsid w:val="000A4ACE"/>
    <w:pPr>
      <w:bidi/>
      <w:spacing w:after="0" w:line="240" w:lineRule="auto"/>
    </w:pPr>
    <w:rPr>
      <w:rFonts w:ascii="Times New Roman" w:eastAsia="Times New Roman" w:hAnsi="Times New Roman" w:cs="David"/>
      <w:noProof/>
      <w:sz w:val="24"/>
      <w:szCs w:val="24"/>
    </w:rPr>
  </w:style>
  <w:style w:type="paragraph" w:customStyle="1" w:styleId="D4BA11CE55FB47E4943078C6F3A24A5F2">
    <w:name w:val="D4BA11CE55FB47E4943078C6F3A24A5F2"/>
    <w:rsid w:val="000A4ACE"/>
    <w:pPr>
      <w:bidi/>
      <w:spacing w:after="0" w:line="240" w:lineRule="auto"/>
    </w:pPr>
    <w:rPr>
      <w:rFonts w:ascii="Times New Roman" w:eastAsia="Times New Roman" w:hAnsi="Times New Roman" w:cs="David"/>
      <w:noProof/>
      <w:sz w:val="24"/>
      <w:szCs w:val="24"/>
    </w:rPr>
  </w:style>
  <w:style w:type="paragraph" w:customStyle="1" w:styleId="E460D38E05664FF79D4EFF282EF8EC9911">
    <w:name w:val="E460D38E05664FF79D4EFF282EF8EC9911"/>
    <w:rsid w:val="000A4ACE"/>
    <w:pPr>
      <w:bidi/>
      <w:spacing w:after="0" w:line="240" w:lineRule="auto"/>
    </w:pPr>
    <w:rPr>
      <w:rFonts w:ascii="Times New Roman" w:eastAsia="Times New Roman" w:hAnsi="Times New Roman" w:cs="David"/>
      <w:noProof/>
      <w:sz w:val="24"/>
      <w:szCs w:val="24"/>
    </w:rPr>
  </w:style>
  <w:style w:type="paragraph" w:customStyle="1" w:styleId="D290653DA13E4E738B7E725F79D733294">
    <w:name w:val="D290653DA13E4E738B7E725F79D733294"/>
    <w:rsid w:val="000A4ACE"/>
    <w:pPr>
      <w:bidi/>
      <w:spacing w:after="0" w:line="240" w:lineRule="auto"/>
    </w:pPr>
    <w:rPr>
      <w:rFonts w:ascii="Times New Roman" w:eastAsia="Times New Roman" w:hAnsi="Times New Roman" w:cs="David"/>
      <w:noProof/>
      <w:sz w:val="24"/>
      <w:szCs w:val="24"/>
    </w:rPr>
  </w:style>
  <w:style w:type="paragraph" w:customStyle="1" w:styleId="BDEC6EF4A26446AEA2E1516382A0B8E33">
    <w:name w:val="BDEC6EF4A26446AEA2E1516382A0B8E33"/>
    <w:rsid w:val="000A4ACE"/>
    <w:pPr>
      <w:bidi/>
      <w:spacing w:after="0" w:line="240" w:lineRule="auto"/>
    </w:pPr>
    <w:rPr>
      <w:rFonts w:ascii="Times New Roman" w:eastAsia="Times New Roman" w:hAnsi="Times New Roman" w:cs="David"/>
      <w:noProof/>
      <w:sz w:val="24"/>
      <w:szCs w:val="24"/>
    </w:rPr>
  </w:style>
  <w:style w:type="paragraph" w:customStyle="1" w:styleId="74FAC0D4100349AAB7CFF87C680380873">
    <w:name w:val="74FAC0D4100349AAB7CFF87C680380873"/>
    <w:rsid w:val="000A4ACE"/>
    <w:pPr>
      <w:bidi/>
      <w:spacing w:after="0" w:line="240" w:lineRule="auto"/>
    </w:pPr>
    <w:rPr>
      <w:rFonts w:ascii="Times New Roman" w:eastAsia="Times New Roman" w:hAnsi="Times New Roman" w:cs="David"/>
      <w:noProof/>
      <w:sz w:val="24"/>
      <w:szCs w:val="24"/>
    </w:rPr>
  </w:style>
  <w:style w:type="paragraph" w:customStyle="1" w:styleId="E5D38D1255CA4A599DDADA0AE1A5590E3">
    <w:name w:val="E5D38D1255CA4A599DDADA0AE1A5590E3"/>
    <w:rsid w:val="000A4ACE"/>
    <w:pPr>
      <w:bidi/>
      <w:spacing w:after="0" w:line="240" w:lineRule="auto"/>
    </w:pPr>
    <w:rPr>
      <w:rFonts w:ascii="Times New Roman" w:eastAsia="Times New Roman" w:hAnsi="Times New Roman" w:cs="David"/>
      <w:noProof/>
      <w:sz w:val="24"/>
      <w:szCs w:val="24"/>
    </w:rPr>
  </w:style>
  <w:style w:type="paragraph" w:customStyle="1" w:styleId="B486AC440BF14F3BBBD42CAB0606FAF03">
    <w:name w:val="B486AC440BF14F3BBBD42CAB0606FAF03"/>
    <w:rsid w:val="000A4ACE"/>
    <w:pPr>
      <w:bidi/>
      <w:spacing w:after="0" w:line="240" w:lineRule="auto"/>
    </w:pPr>
    <w:rPr>
      <w:rFonts w:ascii="Times New Roman" w:eastAsia="Times New Roman" w:hAnsi="Times New Roman" w:cs="David"/>
      <w:noProof/>
      <w:sz w:val="24"/>
      <w:szCs w:val="24"/>
    </w:rPr>
  </w:style>
  <w:style w:type="paragraph" w:customStyle="1" w:styleId="D4BA11CE55FB47E4943078C6F3A24A5F3">
    <w:name w:val="D4BA11CE55FB47E4943078C6F3A24A5F3"/>
    <w:rsid w:val="000A4ACE"/>
    <w:pPr>
      <w:bidi/>
      <w:spacing w:after="0" w:line="240" w:lineRule="auto"/>
    </w:pPr>
    <w:rPr>
      <w:rFonts w:ascii="Times New Roman" w:eastAsia="Times New Roman" w:hAnsi="Times New Roman" w:cs="David"/>
      <w:noProof/>
      <w:sz w:val="24"/>
      <w:szCs w:val="24"/>
    </w:rPr>
  </w:style>
  <w:style w:type="paragraph" w:customStyle="1" w:styleId="E460D38E05664FF79D4EFF282EF8EC9912">
    <w:name w:val="E460D38E05664FF79D4EFF282EF8EC9912"/>
    <w:rsid w:val="000A4ACE"/>
    <w:pPr>
      <w:bidi/>
      <w:spacing w:after="0" w:line="240" w:lineRule="auto"/>
    </w:pPr>
    <w:rPr>
      <w:rFonts w:ascii="Times New Roman" w:eastAsia="Times New Roman" w:hAnsi="Times New Roman" w:cs="David"/>
      <w:noProof/>
      <w:sz w:val="24"/>
      <w:szCs w:val="24"/>
    </w:rPr>
  </w:style>
  <w:style w:type="paragraph" w:customStyle="1" w:styleId="D290653DA13E4E738B7E725F79D733295">
    <w:name w:val="D290653DA13E4E738B7E725F79D733295"/>
    <w:rsid w:val="000A4ACE"/>
    <w:pPr>
      <w:bidi/>
      <w:spacing w:after="0" w:line="240" w:lineRule="auto"/>
    </w:pPr>
    <w:rPr>
      <w:rFonts w:ascii="Times New Roman" w:eastAsia="Times New Roman" w:hAnsi="Times New Roman" w:cs="David"/>
      <w:noProof/>
      <w:sz w:val="24"/>
      <w:szCs w:val="24"/>
    </w:rPr>
  </w:style>
  <w:style w:type="paragraph" w:customStyle="1" w:styleId="4CB7196AAF294F94B2C6087C9BF06E84">
    <w:name w:val="4CB7196AAF294F94B2C6087C9BF06E84"/>
    <w:rsid w:val="00F04DC1"/>
    <w:pPr>
      <w:bidi/>
      <w:spacing w:after="160" w:line="259" w:lineRule="auto"/>
    </w:pPr>
  </w:style>
  <w:style w:type="paragraph" w:customStyle="1" w:styleId="116EBBD5A99E4E519EE4A5661D82C50E">
    <w:name w:val="116EBBD5A99E4E519EE4A5661D82C50E"/>
    <w:rsid w:val="00F04DC1"/>
    <w:pPr>
      <w:bidi/>
      <w:spacing w:after="160" w:line="259" w:lineRule="auto"/>
    </w:pPr>
  </w:style>
  <w:style w:type="paragraph" w:customStyle="1" w:styleId="E6E6A917CC5E4519A8F2E864C48E22F2">
    <w:name w:val="E6E6A917CC5E4519A8F2E864C48E22F2"/>
    <w:rsid w:val="00F04DC1"/>
    <w:pPr>
      <w:bidi/>
      <w:spacing w:after="160" w:line="259" w:lineRule="auto"/>
    </w:pPr>
  </w:style>
  <w:style w:type="paragraph" w:customStyle="1" w:styleId="9DC4FF55E52B4E209349FC40470DD418">
    <w:name w:val="9DC4FF55E52B4E209349FC40470DD418"/>
    <w:rsid w:val="00F04DC1"/>
    <w:pPr>
      <w:bidi/>
      <w:spacing w:after="160" w:line="259" w:lineRule="auto"/>
    </w:pPr>
  </w:style>
  <w:style w:type="paragraph" w:customStyle="1" w:styleId="112E7BE5CCF64A68A3D497F283A4D695">
    <w:name w:val="112E7BE5CCF64A68A3D497F283A4D695"/>
    <w:rsid w:val="00F04DC1"/>
    <w:pPr>
      <w:bidi/>
      <w:spacing w:after="160" w:line="259" w:lineRule="auto"/>
    </w:pPr>
  </w:style>
  <w:style w:type="paragraph" w:customStyle="1" w:styleId="F7AC192E75FB4DD1B3A20434CFD65B69">
    <w:name w:val="F7AC192E75FB4DD1B3A20434CFD65B69"/>
    <w:rsid w:val="00F04DC1"/>
    <w:pPr>
      <w:bidi/>
      <w:spacing w:after="160" w:line="259" w:lineRule="auto"/>
    </w:pPr>
  </w:style>
  <w:style w:type="paragraph" w:customStyle="1" w:styleId="116EBBD5A99E4E519EE4A5661D82C50E1">
    <w:name w:val="116EBBD5A99E4E519EE4A5661D82C50E1"/>
    <w:rsid w:val="007E254A"/>
    <w:pPr>
      <w:bidi/>
      <w:spacing w:after="0" w:line="240" w:lineRule="auto"/>
    </w:pPr>
    <w:rPr>
      <w:rFonts w:ascii="Times New Roman" w:eastAsia="Times New Roman" w:hAnsi="Times New Roman" w:cs="David"/>
      <w:noProof/>
      <w:sz w:val="24"/>
      <w:szCs w:val="24"/>
    </w:rPr>
  </w:style>
  <w:style w:type="paragraph" w:customStyle="1" w:styleId="E6E6A917CC5E4519A8F2E864C48E22F21">
    <w:name w:val="E6E6A917CC5E4519A8F2E864C48E22F21"/>
    <w:rsid w:val="007E254A"/>
    <w:pPr>
      <w:bidi/>
      <w:spacing w:after="0" w:line="240" w:lineRule="auto"/>
    </w:pPr>
    <w:rPr>
      <w:rFonts w:ascii="Times New Roman" w:eastAsia="Times New Roman" w:hAnsi="Times New Roman" w:cs="David"/>
      <w:noProof/>
      <w:sz w:val="24"/>
      <w:szCs w:val="24"/>
    </w:rPr>
  </w:style>
  <w:style w:type="paragraph" w:customStyle="1" w:styleId="9DC4FF55E52B4E209349FC40470DD4181">
    <w:name w:val="9DC4FF55E52B4E209349FC40470DD4181"/>
    <w:rsid w:val="007E254A"/>
    <w:pPr>
      <w:bidi/>
      <w:spacing w:after="0" w:line="240" w:lineRule="auto"/>
    </w:pPr>
    <w:rPr>
      <w:rFonts w:ascii="Times New Roman" w:eastAsia="Times New Roman" w:hAnsi="Times New Roman" w:cs="David"/>
      <w:noProof/>
      <w:sz w:val="24"/>
      <w:szCs w:val="24"/>
    </w:rPr>
  </w:style>
  <w:style w:type="paragraph" w:customStyle="1" w:styleId="112E7BE5CCF64A68A3D497F283A4D6951">
    <w:name w:val="112E7BE5CCF64A68A3D497F283A4D6951"/>
    <w:rsid w:val="007E254A"/>
    <w:pPr>
      <w:bidi/>
      <w:spacing w:after="0" w:line="240" w:lineRule="auto"/>
    </w:pPr>
    <w:rPr>
      <w:rFonts w:ascii="Times New Roman" w:eastAsia="Times New Roman" w:hAnsi="Times New Roman" w:cs="David"/>
      <w:noProof/>
      <w:sz w:val="24"/>
      <w:szCs w:val="24"/>
    </w:rPr>
  </w:style>
  <w:style w:type="paragraph" w:customStyle="1" w:styleId="F7AC192E75FB4DD1B3A20434CFD65B691">
    <w:name w:val="F7AC192E75FB4DD1B3A20434CFD65B691"/>
    <w:rsid w:val="007E254A"/>
    <w:pPr>
      <w:bidi/>
      <w:spacing w:after="0" w:line="240" w:lineRule="auto"/>
    </w:pPr>
    <w:rPr>
      <w:rFonts w:ascii="Times New Roman" w:eastAsia="Times New Roman" w:hAnsi="Times New Roman" w:cs="David"/>
      <w:noProof/>
      <w:sz w:val="24"/>
      <w:szCs w:val="24"/>
    </w:rPr>
  </w:style>
  <w:style w:type="paragraph" w:customStyle="1" w:styleId="E460D38E05664FF79D4EFF282EF8EC9913">
    <w:name w:val="E460D38E05664FF79D4EFF282EF8EC9913"/>
    <w:rsid w:val="007E254A"/>
    <w:pPr>
      <w:bidi/>
      <w:spacing w:after="0" w:line="240" w:lineRule="auto"/>
    </w:pPr>
    <w:rPr>
      <w:rFonts w:ascii="Times New Roman" w:eastAsia="Times New Roman" w:hAnsi="Times New Roman" w:cs="David"/>
      <w:noProof/>
      <w:sz w:val="24"/>
      <w:szCs w:val="24"/>
    </w:rPr>
  </w:style>
  <w:style w:type="paragraph" w:customStyle="1" w:styleId="D290653DA13E4E738B7E725F79D733296">
    <w:name w:val="D290653DA13E4E738B7E725F79D733296"/>
    <w:rsid w:val="007E254A"/>
    <w:pPr>
      <w:bidi/>
      <w:spacing w:after="0" w:line="240" w:lineRule="auto"/>
    </w:pPr>
    <w:rPr>
      <w:rFonts w:ascii="Times New Roman" w:eastAsia="Times New Roman" w:hAnsi="Times New Roman" w:cs="David"/>
      <w:noProof/>
      <w:sz w:val="24"/>
      <w:szCs w:val="24"/>
    </w:rPr>
  </w:style>
  <w:style w:type="paragraph" w:customStyle="1" w:styleId="116EBBD5A99E4E519EE4A5661D82C50E2">
    <w:name w:val="116EBBD5A99E4E519EE4A5661D82C50E2"/>
    <w:rsid w:val="00334638"/>
    <w:pPr>
      <w:bidi/>
      <w:spacing w:after="0" w:line="240" w:lineRule="auto"/>
    </w:pPr>
    <w:rPr>
      <w:rFonts w:ascii="Times New Roman" w:eastAsia="Times New Roman" w:hAnsi="Times New Roman" w:cs="David"/>
      <w:noProof/>
      <w:sz w:val="24"/>
      <w:szCs w:val="24"/>
    </w:rPr>
  </w:style>
  <w:style w:type="paragraph" w:customStyle="1" w:styleId="E6E6A917CC5E4519A8F2E864C48E22F22">
    <w:name w:val="E6E6A917CC5E4519A8F2E864C48E22F22"/>
    <w:rsid w:val="00334638"/>
    <w:pPr>
      <w:bidi/>
      <w:spacing w:after="0" w:line="240" w:lineRule="auto"/>
    </w:pPr>
    <w:rPr>
      <w:rFonts w:ascii="Times New Roman" w:eastAsia="Times New Roman" w:hAnsi="Times New Roman" w:cs="David"/>
      <w:noProof/>
      <w:sz w:val="24"/>
      <w:szCs w:val="24"/>
    </w:rPr>
  </w:style>
  <w:style w:type="paragraph" w:customStyle="1" w:styleId="9DC4FF55E52B4E209349FC40470DD4182">
    <w:name w:val="9DC4FF55E52B4E209349FC40470DD4182"/>
    <w:rsid w:val="00334638"/>
    <w:pPr>
      <w:bidi/>
      <w:spacing w:after="0" w:line="240" w:lineRule="auto"/>
    </w:pPr>
    <w:rPr>
      <w:rFonts w:ascii="Times New Roman" w:eastAsia="Times New Roman" w:hAnsi="Times New Roman" w:cs="David"/>
      <w:noProof/>
      <w:sz w:val="24"/>
      <w:szCs w:val="24"/>
    </w:rPr>
  </w:style>
  <w:style w:type="paragraph" w:customStyle="1" w:styleId="112E7BE5CCF64A68A3D497F283A4D6952">
    <w:name w:val="112E7BE5CCF64A68A3D497F283A4D6952"/>
    <w:rsid w:val="00334638"/>
    <w:pPr>
      <w:bidi/>
      <w:spacing w:after="0" w:line="240" w:lineRule="auto"/>
    </w:pPr>
    <w:rPr>
      <w:rFonts w:ascii="Times New Roman" w:eastAsia="Times New Roman" w:hAnsi="Times New Roman" w:cs="David"/>
      <w:noProof/>
      <w:sz w:val="24"/>
      <w:szCs w:val="24"/>
    </w:rPr>
  </w:style>
  <w:style w:type="paragraph" w:customStyle="1" w:styleId="ECC435E5782A4F3FB39457279E24BE88">
    <w:name w:val="ECC435E5782A4F3FB39457279E24BE88"/>
    <w:rsid w:val="00334638"/>
    <w:pPr>
      <w:bidi/>
      <w:spacing w:after="0" w:line="240" w:lineRule="auto"/>
    </w:pPr>
    <w:rPr>
      <w:rFonts w:ascii="Times New Roman" w:eastAsia="Times New Roman" w:hAnsi="Times New Roman" w:cs="David"/>
      <w:noProof/>
      <w:sz w:val="24"/>
      <w:szCs w:val="24"/>
    </w:rPr>
  </w:style>
  <w:style w:type="paragraph" w:customStyle="1" w:styleId="E460D38E05664FF79D4EFF282EF8EC9914">
    <w:name w:val="E460D38E05664FF79D4EFF282EF8EC9914"/>
    <w:rsid w:val="00334638"/>
    <w:pPr>
      <w:bidi/>
      <w:spacing w:after="0" w:line="240" w:lineRule="auto"/>
    </w:pPr>
    <w:rPr>
      <w:rFonts w:ascii="Times New Roman" w:eastAsia="Times New Roman" w:hAnsi="Times New Roman" w:cs="David"/>
      <w:noProof/>
      <w:sz w:val="24"/>
      <w:szCs w:val="24"/>
    </w:rPr>
  </w:style>
  <w:style w:type="paragraph" w:customStyle="1" w:styleId="D290653DA13E4E738B7E725F79D733297">
    <w:name w:val="D290653DA13E4E738B7E725F79D733297"/>
    <w:rsid w:val="00334638"/>
    <w:pPr>
      <w:bidi/>
      <w:spacing w:after="0" w:line="240" w:lineRule="auto"/>
    </w:pPr>
    <w:rPr>
      <w:rFonts w:ascii="Times New Roman" w:eastAsia="Times New Roman" w:hAnsi="Times New Roman" w:cs="David"/>
      <w:noProof/>
      <w:sz w:val="24"/>
      <w:szCs w:val="24"/>
    </w:rPr>
  </w:style>
  <w:style w:type="paragraph" w:customStyle="1" w:styleId="116EBBD5A99E4E519EE4A5661D82C50E3">
    <w:name w:val="116EBBD5A99E4E519EE4A5661D82C50E3"/>
    <w:rsid w:val="00F4674E"/>
    <w:pPr>
      <w:bidi/>
      <w:spacing w:after="0" w:line="240" w:lineRule="auto"/>
    </w:pPr>
    <w:rPr>
      <w:rFonts w:ascii="Times New Roman" w:eastAsia="Times New Roman" w:hAnsi="Times New Roman" w:cs="David"/>
      <w:noProof/>
      <w:sz w:val="24"/>
      <w:szCs w:val="24"/>
    </w:rPr>
  </w:style>
  <w:style w:type="paragraph" w:customStyle="1" w:styleId="E6E6A917CC5E4519A8F2E864C48E22F23">
    <w:name w:val="E6E6A917CC5E4519A8F2E864C48E22F23"/>
    <w:rsid w:val="00F4674E"/>
    <w:pPr>
      <w:bidi/>
      <w:spacing w:after="0" w:line="240" w:lineRule="auto"/>
    </w:pPr>
    <w:rPr>
      <w:rFonts w:ascii="Times New Roman" w:eastAsia="Times New Roman" w:hAnsi="Times New Roman" w:cs="David"/>
      <w:noProof/>
      <w:sz w:val="24"/>
      <w:szCs w:val="24"/>
    </w:rPr>
  </w:style>
  <w:style w:type="paragraph" w:customStyle="1" w:styleId="9DC4FF55E52B4E209349FC40470DD4183">
    <w:name w:val="9DC4FF55E52B4E209349FC40470DD4183"/>
    <w:rsid w:val="00F4674E"/>
    <w:pPr>
      <w:bidi/>
      <w:spacing w:after="0" w:line="240" w:lineRule="auto"/>
    </w:pPr>
    <w:rPr>
      <w:rFonts w:ascii="Times New Roman" w:eastAsia="Times New Roman" w:hAnsi="Times New Roman" w:cs="David"/>
      <w:noProof/>
      <w:sz w:val="24"/>
      <w:szCs w:val="24"/>
    </w:rPr>
  </w:style>
  <w:style w:type="paragraph" w:customStyle="1" w:styleId="112E7BE5CCF64A68A3D497F283A4D6953">
    <w:name w:val="112E7BE5CCF64A68A3D497F283A4D6953"/>
    <w:rsid w:val="00F4674E"/>
    <w:pPr>
      <w:bidi/>
      <w:spacing w:after="0" w:line="240" w:lineRule="auto"/>
    </w:pPr>
    <w:rPr>
      <w:rFonts w:ascii="Times New Roman" w:eastAsia="Times New Roman" w:hAnsi="Times New Roman" w:cs="David"/>
      <w:noProof/>
      <w:sz w:val="24"/>
      <w:szCs w:val="24"/>
    </w:rPr>
  </w:style>
  <w:style w:type="paragraph" w:customStyle="1" w:styleId="ECC435E5782A4F3FB39457279E24BE881">
    <w:name w:val="ECC435E5782A4F3FB39457279E24BE881"/>
    <w:rsid w:val="00F4674E"/>
    <w:pPr>
      <w:bidi/>
      <w:spacing w:after="0" w:line="240" w:lineRule="auto"/>
    </w:pPr>
    <w:rPr>
      <w:rFonts w:ascii="Times New Roman" w:eastAsia="Times New Roman" w:hAnsi="Times New Roman" w:cs="David"/>
      <w:noProof/>
      <w:sz w:val="24"/>
      <w:szCs w:val="24"/>
    </w:rPr>
  </w:style>
  <w:style w:type="paragraph" w:customStyle="1" w:styleId="E460D38E05664FF79D4EFF282EF8EC9915">
    <w:name w:val="E460D38E05664FF79D4EFF282EF8EC9915"/>
    <w:rsid w:val="00F4674E"/>
    <w:pPr>
      <w:bidi/>
      <w:spacing w:after="0" w:line="240" w:lineRule="auto"/>
    </w:pPr>
    <w:rPr>
      <w:rFonts w:ascii="Times New Roman" w:eastAsia="Times New Roman" w:hAnsi="Times New Roman" w:cs="David"/>
      <w:noProof/>
      <w:sz w:val="24"/>
      <w:szCs w:val="24"/>
    </w:rPr>
  </w:style>
  <w:style w:type="paragraph" w:customStyle="1" w:styleId="D290653DA13E4E738B7E725F79D733298">
    <w:name w:val="D290653DA13E4E738B7E725F79D733298"/>
    <w:rsid w:val="00F4674E"/>
    <w:pPr>
      <w:bidi/>
      <w:spacing w:after="0" w:line="240" w:lineRule="auto"/>
    </w:pPr>
    <w:rPr>
      <w:rFonts w:ascii="Times New Roman" w:eastAsia="Times New Roman" w:hAnsi="Times New Roman" w:cs="David"/>
      <w:noProof/>
      <w:sz w:val="24"/>
      <w:szCs w:val="24"/>
    </w:rPr>
  </w:style>
  <w:style w:type="paragraph" w:customStyle="1" w:styleId="116EBBD5A99E4E519EE4A5661D82C50E4">
    <w:name w:val="116EBBD5A99E4E519EE4A5661D82C50E4"/>
    <w:rsid w:val="002E734C"/>
    <w:pPr>
      <w:bidi/>
      <w:spacing w:after="0" w:line="240" w:lineRule="auto"/>
    </w:pPr>
    <w:rPr>
      <w:rFonts w:ascii="Times New Roman" w:eastAsia="Times New Roman" w:hAnsi="Times New Roman" w:cs="David"/>
      <w:noProof/>
      <w:sz w:val="24"/>
      <w:szCs w:val="24"/>
    </w:rPr>
  </w:style>
  <w:style w:type="paragraph" w:customStyle="1" w:styleId="E6E6A917CC5E4519A8F2E864C48E22F24">
    <w:name w:val="E6E6A917CC5E4519A8F2E864C48E22F24"/>
    <w:rsid w:val="002E734C"/>
    <w:pPr>
      <w:bidi/>
      <w:spacing w:after="0" w:line="240" w:lineRule="auto"/>
    </w:pPr>
    <w:rPr>
      <w:rFonts w:ascii="Times New Roman" w:eastAsia="Times New Roman" w:hAnsi="Times New Roman" w:cs="David"/>
      <w:noProof/>
      <w:sz w:val="24"/>
      <w:szCs w:val="24"/>
    </w:rPr>
  </w:style>
  <w:style w:type="paragraph" w:customStyle="1" w:styleId="9DC4FF55E52B4E209349FC40470DD4184">
    <w:name w:val="9DC4FF55E52B4E209349FC40470DD4184"/>
    <w:rsid w:val="002E734C"/>
    <w:pPr>
      <w:bidi/>
      <w:spacing w:after="0" w:line="240" w:lineRule="auto"/>
    </w:pPr>
    <w:rPr>
      <w:rFonts w:ascii="Times New Roman" w:eastAsia="Times New Roman" w:hAnsi="Times New Roman" w:cs="David"/>
      <w:noProof/>
      <w:sz w:val="24"/>
      <w:szCs w:val="24"/>
    </w:rPr>
  </w:style>
  <w:style w:type="paragraph" w:customStyle="1" w:styleId="112E7BE5CCF64A68A3D497F283A4D6954">
    <w:name w:val="112E7BE5CCF64A68A3D497F283A4D6954"/>
    <w:rsid w:val="002E734C"/>
    <w:pPr>
      <w:bidi/>
      <w:spacing w:after="0" w:line="240" w:lineRule="auto"/>
    </w:pPr>
    <w:rPr>
      <w:rFonts w:ascii="Times New Roman" w:eastAsia="Times New Roman" w:hAnsi="Times New Roman" w:cs="David"/>
      <w:noProof/>
      <w:sz w:val="24"/>
      <w:szCs w:val="24"/>
    </w:rPr>
  </w:style>
  <w:style w:type="paragraph" w:customStyle="1" w:styleId="ECC435E5782A4F3FB39457279E24BE882">
    <w:name w:val="ECC435E5782A4F3FB39457279E24BE882"/>
    <w:rsid w:val="002E734C"/>
    <w:pPr>
      <w:bidi/>
      <w:spacing w:after="0" w:line="240" w:lineRule="auto"/>
    </w:pPr>
    <w:rPr>
      <w:rFonts w:ascii="Times New Roman" w:eastAsia="Times New Roman" w:hAnsi="Times New Roman" w:cs="David"/>
      <w:noProof/>
      <w:sz w:val="24"/>
      <w:szCs w:val="24"/>
    </w:rPr>
  </w:style>
  <w:style w:type="paragraph" w:customStyle="1" w:styleId="E460D38E05664FF79D4EFF282EF8EC9916">
    <w:name w:val="E460D38E05664FF79D4EFF282EF8EC9916"/>
    <w:rsid w:val="002E734C"/>
    <w:pPr>
      <w:bidi/>
      <w:spacing w:after="0" w:line="240" w:lineRule="auto"/>
    </w:pPr>
    <w:rPr>
      <w:rFonts w:ascii="Times New Roman" w:eastAsia="Times New Roman" w:hAnsi="Times New Roman" w:cs="David"/>
      <w:noProof/>
      <w:sz w:val="24"/>
      <w:szCs w:val="24"/>
    </w:rPr>
  </w:style>
  <w:style w:type="paragraph" w:customStyle="1" w:styleId="D290653DA13E4E738B7E725F79D733299">
    <w:name w:val="D290653DA13E4E738B7E725F79D733299"/>
    <w:rsid w:val="002E734C"/>
    <w:pPr>
      <w:bidi/>
      <w:spacing w:after="0" w:line="240" w:lineRule="auto"/>
    </w:pPr>
    <w:rPr>
      <w:rFonts w:ascii="Times New Roman" w:eastAsia="Times New Roman" w:hAnsi="Times New Roman" w:cs="David"/>
      <w:noProof/>
      <w:sz w:val="24"/>
      <w:szCs w:val="24"/>
    </w:rPr>
  </w:style>
  <w:style w:type="paragraph" w:customStyle="1" w:styleId="116EBBD5A99E4E519EE4A5661D82C50E5">
    <w:name w:val="116EBBD5A99E4E519EE4A5661D82C50E5"/>
    <w:rsid w:val="003E1A82"/>
    <w:pPr>
      <w:bidi/>
      <w:spacing w:after="0" w:line="240" w:lineRule="auto"/>
    </w:pPr>
    <w:rPr>
      <w:rFonts w:ascii="Times New Roman" w:eastAsia="Times New Roman" w:hAnsi="Times New Roman" w:cs="David"/>
      <w:noProof/>
      <w:sz w:val="24"/>
      <w:szCs w:val="24"/>
    </w:rPr>
  </w:style>
  <w:style w:type="paragraph" w:customStyle="1" w:styleId="E6E6A917CC5E4519A8F2E864C48E22F25">
    <w:name w:val="E6E6A917CC5E4519A8F2E864C48E22F25"/>
    <w:rsid w:val="003E1A82"/>
    <w:pPr>
      <w:bidi/>
      <w:spacing w:after="0" w:line="240" w:lineRule="auto"/>
    </w:pPr>
    <w:rPr>
      <w:rFonts w:ascii="Times New Roman" w:eastAsia="Times New Roman" w:hAnsi="Times New Roman" w:cs="David"/>
      <w:noProof/>
      <w:sz w:val="24"/>
      <w:szCs w:val="24"/>
    </w:rPr>
  </w:style>
  <w:style w:type="paragraph" w:customStyle="1" w:styleId="9DC4FF55E52B4E209349FC40470DD4185">
    <w:name w:val="9DC4FF55E52B4E209349FC40470DD4185"/>
    <w:rsid w:val="003E1A82"/>
    <w:pPr>
      <w:bidi/>
      <w:spacing w:after="0" w:line="240" w:lineRule="auto"/>
    </w:pPr>
    <w:rPr>
      <w:rFonts w:ascii="Times New Roman" w:eastAsia="Times New Roman" w:hAnsi="Times New Roman" w:cs="David"/>
      <w:noProof/>
      <w:sz w:val="24"/>
      <w:szCs w:val="24"/>
    </w:rPr>
  </w:style>
  <w:style w:type="paragraph" w:customStyle="1" w:styleId="112E7BE5CCF64A68A3D497F283A4D6955">
    <w:name w:val="112E7BE5CCF64A68A3D497F283A4D6955"/>
    <w:rsid w:val="003E1A82"/>
    <w:pPr>
      <w:bidi/>
      <w:spacing w:after="0" w:line="240" w:lineRule="auto"/>
    </w:pPr>
    <w:rPr>
      <w:rFonts w:ascii="Times New Roman" w:eastAsia="Times New Roman" w:hAnsi="Times New Roman" w:cs="David"/>
      <w:noProof/>
      <w:sz w:val="24"/>
      <w:szCs w:val="24"/>
    </w:rPr>
  </w:style>
  <w:style w:type="paragraph" w:customStyle="1" w:styleId="ECC435E5782A4F3FB39457279E24BE883">
    <w:name w:val="ECC435E5782A4F3FB39457279E24BE883"/>
    <w:rsid w:val="003E1A82"/>
    <w:pPr>
      <w:bidi/>
      <w:spacing w:after="0" w:line="240" w:lineRule="auto"/>
    </w:pPr>
    <w:rPr>
      <w:rFonts w:ascii="Times New Roman" w:eastAsia="Times New Roman" w:hAnsi="Times New Roman" w:cs="David"/>
      <w:noProof/>
      <w:sz w:val="24"/>
      <w:szCs w:val="24"/>
    </w:rPr>
  </w:style>
  <w:style w:type="paragraph" w:customStyle="1" w:styleId="E460D38E05664FF79D4EFF282EF8EC9917">
    <w:name w:val="E460D38E05664FF79D4EFF282EF8EC9917"/>
    <w:rsid w:val="003E1A82"/>
    <w:pPr>
      <w:bidi/>
      <w:spacing w:after="0" w:line="240" w:lineRule="auto"/>
    </w:pPr>
    <w:rPr>
      <w:rFonts w:ascii="Times New Roman" w:eastAsia="Times New Roman" w:hAnsi="Times New Roman" w:cs="David"/>
      <w:noProof/>
      <w:sz w:val="24"/>
      <w:szCs w:val="24"/>
    </w:rPr>
  </w:style>
  <w:style w:type="paragraph" w:customStyle="1" w:styleId="D290653DA13E4E738B7E725F79D7332910">
    <w:name w:val="D290653DA13E4E738B7E725F79D7332910"/>
    <w:rsid w:val="003E1A82"/>
    <w:pPr>
      <w:bidi/>
      <w:spacing w:after="0" w:line="240" w:lineRule="auto"/>
    </w:pPr>
    <w:rPr>
      <w:rFonts w:ascii="Times New Roman" w:eastAsia="Times New Roman" w:hAnsi="Times New Roman" w:cs="David"/>
      <w:noProof/>
      <w:sz w:val="24"/>
      <w:szCs w:val="24"/>
    </w:rPr>
  </w:style>
  <w:style w:type="paragraph" w:customStyle="1" w:styleId="116EBBD5A99E4E519EE4A5661D82C50E6">
    <w:name w:val="116EBBD5A99E4E519EE4A5661D82C50E6"/>
    <w:rsid w:val="003E1A82"/>
    <w:pPr>
      <w:bidi/>
      <w:spacing w:after="0" w:line="240" w:lineRule="auto"/>
    </w:pPr>
    <w:rPr>
      <w:rFonts w:ascii="Times New Roman" w:eastAsia="Times New Roman" w:hAnsi="Times New Roman" w:cs="David"/>
      <w:noProof/>
      <w:sz w:val="24"/>
      <w:szCs w:val="24"/>
    </w:rPr>
  </w:style>
  <w:style w:type="paragraph" w:customStyle="1" w:styleId="E6E6A917CC5E4519A8F2E864C48E22F26">
    <w:name w:val="E6E6A917CC5E4519A8F2E864C48E22F26"/>
    <w:rsid w:val="003E1A82"/>
    <w:pPr>
      <w:bidi/>
      <w:spacing w:after="0" w:line="240" w:lineRule="auto"/>
    </w:pPr>
    <w:rPr>
      <w:rFonts w:ascii="Times New Roman" w:eastAsia="Times New Roman" w:hAnsi="Times New Roman" w:cs="David"/>
      <w:noProof/>
      <w:sz w:val="24"/>
      <w:szCs w:val="24"/>
    </w:rPr>
  </w:style>
  <w:style w:type="paragraph" w:customStyle="1" w:styleId="9DC4FF55E52B4E209349FC40470DD4186">
    <w:name w:val="9DC4FF55E52B4E209349FC40470DD4186"/>
    <w:rsid w:val="003E1A82"/>
    <w:pPr>
      <w:bidi/>
      <w:spacing w:after="0" w:line="240" w:lineRule="auto"/>
    </w:pPr>
    <w:rPr>
      <w:rFonts w:ascii="Times New Roman" w:eastAsia="Times New Roman" w:hAnsi="Times New Roman" w:cs="David"/>
      <w:noProof/>
      <w:sz w:val="24"/>
      <w:szCs w:val="24"/>
    </w:rPr>
  </w:style>
  <w:style w:type="paragraph" w:customStyle="1" w:styleId="112E7BE5CCF64A68A3D497F283A4D6956">
    <w:name w:val="112E7BE5CCF64A68A3D497F283A4D6956"/>
    <w:rsid w:val="003E1A82"/>
    <w:pPr>
      <w:bidi/>
      <w:spacing w:after="0" w:line="240" w:lineRule="auto"/>
    </w:pPr>
    <w:rPr>
      <w:rFonts w:ascii="Times New Roman" w:eastAsia="Times New Roman" w:hAnsi="Times New Roman" w:cs="David"/>
      <w:noProof/>
      <w:sz w:val="24"/>
      <w:szCs w:val="24"/>
    </w:rPr>
  </w:style>
  <w:style w:type="paragraph" w:customStyle="1" w:styleId="ECC435E5782A4F3FB39457279E24BE884">
    <w:name w:val="ECC435E5782A4F3FB39457279E24BE884"/>
    <w:rsid w:val="003E1A82"/>
    <w:pPr>
      <w:bidi/>
      <w:spacing w:after="0" w:line="240" w:lineRule="auto"/>
    </w:pPr>
    <w:rPr>
      <w:rFonts w:ascii="Times New Roman" w:eastAsia="Times New Roman" w:hAnsi="Times New Roman" w:cs="David"/>
      <w:noProof/>
      <w:sz w:val="24"/>
      <w:szCs w:val="24"/>
    </w:rPr>
  </w:style>
  <w:style w:type="paragraph" w:customStyle="1" w:styleId="E460D38E05664FF79D4EFF282EF8EC9918">
    <w:name w:val="E460D38E05664FF79D4EFF282EF8EC9918"/>
    <w:rsid w:val="003E1A82"/>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iesSelectionDS>
      <CaseParties>
        <PartyTypeName>בא כוח</PartyTypeName>
        <ProceedingType>כתב טענות עיקרי</ProceedingType>
        <PleaName>כתב תביעה</PleaName>
        <PartyBelonging> - </PartyBelonging>
        <RoleName>בא כוח נתבעים</RoleName>
        <IsSubProceeding>FALSE</IsSubProceeding>
        <FullName>צורי ללוש</FullName>
        <FirstName>צורי</FirstName>
        <LastName>ללוש</LastName>
        <PartyPropertyName/>
        <AuthenticationTypeAndNumber>מ.ר. 87738</AuthenticationTypeAndNumber>
        <RepresentatedOrRepresentativesNames> , חן אללוף,  אר. אל. טי השקעות ופיננסים בע"מ, רון גומא, יונה גיא</RepresentatedOrRepresentativesNames>
        <RepresentatedOrRepresentativesCount>5</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278739103</CasePartyID>
        <PartyTypeID>2</PartyTypeID>
        <ActivityStatusID>1</ActivityStatusID>
        <PartyAliasID>21</PartyAliasID>
        <PartyAliasName>בא כוח נתבעים</PartyAliasName>
        <LegalEntityID>79477783</LegalEntityID>
        <CaseLegalEntityID>132668832</CaseLegalEntityID>
        <AuthenticationTypeID>4</AuthenticationTypeID>
        <AuthenticationTypeName>מ.ר.</AuthenticationTypeName>
        <LegalEntityNumber>87738</LegalEntityNumber>
        <IsMainPartyType>true</IsMainPartyType>
        <CaseDisplayIdentifier>7460-10-24</CaseDisplayIdentifier>
        <CaseTypeID>1</CaseTypeID>
        <CaseTypeName>תיק אזרחי בסדר דין רגיל (ת"א)</CaseTypeName>
        <CaseName>זכריה ואח' נ' ריימל יבוא ושיווק בע"מ ואח'</CaseName>
        <FullAddress>יהושוע טהון 33 חולון </FullAddress>
        <EmailAddress>zurilawoffice@gmail.com</EmailAddress>
        <MotionID>0</MotionID>
        <CasePleaID>0</CasePleaID>
        <LinkedCaseID>0</LinkedCaseID>
        <PartyID>2</PartyID>
        <CasePartyCategoryID>2</CasePartyCategoryID>
        <LegalEntityAddressID>84734161</LegalEntityAddressID>
        <LegalEntityEmailAddressID>68100330</LegalEntityEmailAddressID>
        <PleaTypeID>4</PleaTypeID>
        <LawyerOfficeName>משרד עו"ד צורי ללוש</LawyerOfficeName>
        <LawyerOfficeID>79477784</LawyerOfficeID>
        <GroupPartyAlias/>
        <IsConverted>false</IsConverted>
        <LegalEntityNameID>90763548</LegalEntityNameID>
        <RepresentatedNamesOfAssistant/>
        <LegalEntityTypeID>4</LegalEntityTypeID>
        <IsVerdictExists>false</IsVerdictExists>
        <IsAsirAzir>false</IsAsirAzir>
        <MainAndSecSpec/>
        <IsPublicationProhibited>false</IsPublicationProhibited>
        <PublicationProhibitedFullName>צורי ללוש</PublicationProhibitedFullName>
      </CaseParties>
      <CaseParties>
        <PartyTypeName>צד</PartyTypeName>
        <ProceedingType>בקשות</ProceedingType>
        <PleaName>בקשה של תובע 1 צו לא תעשה (צו מניעה) זמני </PleaName>
        <PartyBelonging>צד א'</PartyBelonging>
        <RoleName>מבקש 1</RoleName>
        <IsSubProceeding>TRUE</IsSubProceeding>
        <FullName>דן זכריה</FullName>
        <FirstName>דן</FirstName>
        <LastName>זכריה</LastName>
        <PartyPropertyName/>
        <AuthenticationTypeAndNumber>ת"ז 305443566</AuthenticationTypeAndNumber>
        <RepresentatedOrRepresentativesNames>ערן פרזנטי</RepresentatedOrRepresentativesNames>
        <RepresentatedOrRepresentativesCount>1</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278345714</CasePartyID>
        <PartyTypeID>1</PartyTypeID>
        <ActivityStatusID>1</ActivityStatusID>
        <PartyAliasID>3</PartyAliasID>
        <PartyAliasName>מבקש</PartyAliasName>
        <OrdinalNumber>1</OrdinalNumber>
        <LegalEntityID>57375863</LegalEntityID>
        <CaseLegalEntityID>132545730</CaseLegalEntityID>
        <AuthenticationTypeID>1</AuthenticationTypeID>
        <AuthenticationTypeName>ת"ז</AuthenticationTypeName>
        <LegalEntityNumber>305443566</LegalEntityNumber>
        <IsMainPartyType>false</IsMainPartyType>
        <CaseDisplayIdentifier>7460-10-24</CaseDisplayIdentifier>
        <CaseTypeID>1</CaseTypeID>
        <CaseTypeName>תיק אזרחי בסדר דין רגיל (ת"א)</CaseTypeName>
        <CaseName>זכריה ואח' נ' ריימל יבוא ושיווק בע"מ ואח'</CaseName>
        <FullAddress>בארי 37 נתניה </FullAddress>
        <EmailAddress>dan@iconmilano.com</EmailAddress>
        <MotionID>109807529</MotionID>
        <CasePleaID>0</CasePleaID>
        <FatherName>אלקנה</FatherName>
        <LinkedCaseID>0</LinkedCaseID>
        <PartyID>1</PartyID>
        <CasePartyCategoryID>4</CasePartyCategoryID>
        <LegalEntityAddressID>91031286</LegalEntityAddressID>
        <LegalEntityEmailAddressID>68439251</LegalEntityEmailAddressID>
        <GrandfatherName/>
        <DrivingLicenseNumber>9010760</DrivingLicenseNumber>
        <PleaTypeID>60</PleaTypeID>
        <GroupPartyAlias>מבקשים</GroupPartyAlias>
        <IsConverted>false</IsConverted>
        <LegalEntityRegisteredNameID>5253524</LegalEntityRegisteredNameID>
        <LegalEntityNameID>98310157</LegalEntityNameID>
        <RepresentatedNamesOfAssistant/>
        <PopulationRegisterVerificationStatusID>1</PopulationRegisterVerificationStatusID>
        <LegalEntityTypeID>1</LegalEntityTypeID>
        <IsVerdictExists>false</IsVerdictExists>
        <IsAsirAzir>false</IsAsirAzir>
        <MainAndSecSpec/>
        <IsPublicationProhibited>false</IsPublicationProhibited>
        <PublicationProhibitedFullName>דן זכריה</PublicationProhibitedFullName>
      </CaseParties>
      <CaseParties>
        <PartyTypeName>צד</PartyTypeName>
        <ProceedingType>בקשות</ProceedingType>
        <PleaName>בקשה של תובע 1 צו לא תעשה (צו מניעה) זמני </PleaName>
        <PartyBelonging>צד ב'</PartyBelonging>
        <RoleName>משיב 1</RoleName>
        <IsSubProceeding>TRUE</IsSubProceeding>
        <FullName>ריימל יבוא ושיווק בע"מ</FullName>
        <LastName>ריימל יבוא ושיווק בע"מ</LastName>
        <PartyPropertyName/>
        <AuthenticationTypeAndNumber>חברות 515670388</AuthenticationTypeAndNumber>
        <RepresentatedOrRepresentativesNames>צורי ללוש</RepresentatedOrRepresentativesNames>
        <RepresentatedOrRepresentativesCount>1</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278345716</CasePartyID>
        <PartyTypeID>1</PartyTypeID>
        <ActivityStatusID>1</ActivityStatusID>
        <PartyAliasID>4</PartyAliasID>
        <PartyAliasName>משיב</PartyAliasName>
        <OrdinalNumber>1</OrdinalNumber>
        <LegalEntityID>76388684</LegalEntityID>
        <CaseLegalEntityID>132545733</CaseLegalEntityID>
        <AuthenticationTypeID>3</AuthenticationTypeID>
        <AuthenticationTypeName>חברות</AuthenticationTypeName>
        <LegalEntityNumber>515670388</LegalEntityNumber>
        <IsMainPartyType>false</IsMainPartyType>
        <CaseDisplayIdentifier>7460-10-24</CaseDisplayIdentifier>
        <CaseTypeID>1</CaseTypeID>
        <CaseTypeName>תיק אזרחי בסדר דין רגיל (ת"א)</CaseTypeName>
        <CaseName>זכריה ואח' נ' ריימל יבוא ושיווק בע"מ ואח'</CaseName>
        <FullAddress>דרך בן צבי 84 תל אביב -יפו </FullAddress>
        <MotionID>109807529</MotionID>
        <CasePleaID>0</CasePleaID>
        <LinkedCaseID>0</LinkedCaseID>
        <PartyID>2</PartyID>
        <CasePartyCategoryID>4</CasePartyCategoryID>
        <LegalEntityAddressID>91033249</LegalEntityAddressID>
        <PleaTypeID>60</PleaTypeID>
        <GroupPartyAlias>משיבים</GroupPartyAlias>
        <IsConverted>false</IsConverted>
        <LegalEntityRegisteredNameID>6444793</LegalEntityRegisteredNameID>
        <RepresentatedNamesOfAssistant/>
        <LegalEntityTypeID>3</LegalEntityTypeID>
        <IsVerdictExists>false</IsVerdictExists>
        <IsAsirAzir>false</IsAsirAzir>
        <MainAndSecSpec/>
        <IsPublicationProhibited>false</IsPublicationProhibited>
        <PublicationProhibitedFullName>ריימל יבוא ושיווק בע"מ</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ערן פרזנטי</FullName>
        <FirstName>ערן</FirstName>
        <LastName>פרזנטי</LastName>
        <PartyPropertyName/>
        <AuthenticationTypeAndNumber>מ.ר. 24591</AuthenticationTypeAndNumber>
        <RepresentatedOrRepresentativesNames> , דן זכריה</RepresentatedOrRepresentativesNames>
        <RepresentatedOrRepresentativesCount>2</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278344960</CasePartyID>
        <PartyTypeID>2</PartyTypeID>
        <ActivityStatusID>1</ActivityStatusID>
        <PartyAliasID>20</PartyAliasID>
        <PartyAliasName>בא כוח תובעים</PartyAliasName>
        <OrdinalNumber>1</OrdinalNumber>
        <LegalEntityID>389231</LegalEntityID>
        <CaseLegalEntityID>132545732</CaseLegalEntityID>
        <AuthenticationTypeID>4</AuthenticationTypeID>
        <AuthenticationTypeName>מ.ר.</AuthenticationTypeName>
        <LegalEntityNumber>24591</LegalEntityNumber>
        <IsMainPartyType>true</IsMainPartyType>
        <CaseDisplayIdentifier>7460-10-24</CaseDisplayIdentifier>
        <CaseTypeID>1</CaseTypeID>
        <CaseTypeName>תיק אזרחי בסדר דין רגיל (ת"א)</CaseTypeName>
        <CaseName>זכריה ואח' נ' ריימל יבוא ושיווק בע"מ ואח'</CaseName>
        <FullAddress>השלושה 2 תל אביב -יפו ת.ד 9445</FullAddress>
        <MotionID>0</MotionID>
        <CasePleaID>0</CasePleaID>
        <LinkedCaseID>0</LinkedCaseID>
        <PartyID>1</PartyID>
        <CasePartyCategoryID>2</CasePartyCategoryID>
        <LegalEntityAddressID>84898003</LegalEntityAddressID>
        <PleaTypeID>4</PleaTypeID>
        <LawyerOfficeName>מ.פירון ושות' משרד עו"ד</LawyerOfficeName>
        <LawyerOfficeID>419173</LawyerOfficeID>
        <GroupPartyAlias/>
        <IsConverted>false</IsConverted>
        <LegalEntityNameID>10215</LegalEntityNameID>
        <RepresentatedNamesOfAssistant/>
        <LegalEntityTypeID>4</LegalEntityTypeID>
        <IsVerdictExists>false</IsVerdictExists>
        <IsAsirAzir>false</IsAsirAzir>
        <MainAndSecSpec/>
        <IsPublicationProhibited>false</IsPublicationProhibited>
        <PublicationProhibitedFullName>ערן פרזנטי</PublicationProhibitedFullName>
      </CaseParties>
      <CaseParties>
        <PartyTypeName>צד</PartyTypeName>
        <ProceedingType>בקשות</ProceedingType>
        <PleaName>בקשה של תובע 1 צו לא תעשה (צו מניעה) זמני </PleaName>
        <PartyBelonging>צד א'</PartyBelonging>
        <RoleName>מבקש 2</RoleName>
        <IsSubProceeding>TRUE</IsSubProceeding>
        <FullName>אייקון מילאנו בע"מ</FullName>
        <LastName>אייקון מילאנו בע"מ</LastName>
        <PartyPropertyName/>
        <AuthenticationTypeAndNumber>חברות 516878089</AuthenticationTypeAndNumber>
        <RepresentatedOrRepresentativesNames>ערן פרזנטי</RepresentatedOrRepresentativesNames>
        <RepresentatedOrRepresentativesCount>1</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278345715</CasePartyID>
        <PartyTypeID>1</PartyTypeID>
        <ActivityStatusID>1</ActivityStatusID>
        <PartyAliasID>3</PartyAliasID>
        <PartyAliasName>מבקש</PartyAliasName>
        <OrdinalNumber>2</OrdinalNumber>
        <LegalEntityID>82964006</LegalEntityID>
        <CaseLegalEntityID>132545731</CaseLegalEntityID>
        <AuthenticationTypeID>3</AuthenticationTypeID>
        <AuthenticationTypeName>חברות</AuthenticationTypeName>
        <LegalEntityNumber>516878089</LegalEntityNumber>
        <IsMainPartyType>false</IsMainPartyType>
        <CaseDisplayIdentifier>7460-10-24</CaseDisplayIdentifier>
        <CaseTypeID>1</CaseTypeID>
        <CaseTypeName>תיק אזרחי בסדר דין רגיל (ת"א)</CaseTypeName>
        <CaseName>זכריה ואח' נ' ריימל יבוא ושיווק בע"מ ואח'</CaseName>
        <FullAddress>הפלד 7 חולון </FullAddress>
        <EmailAddress>eranp@firon.co.il</EmailAddress>
        <MotionID>109807529</MotionID>
        <CasePleaID>0</CasePleaID>
        <LinkedCaseID>0</LinkedCaseID>
        <PartyID>1</PartyID>
        <CasePartyCategoryID>4</CasePartyCategoryID>
        <LegalEntityAddressID>91033242</LegalEntityAddressID>
        <LegalEntityEmailAddressID>68439256</LegalEntityEmailAddressID>
        <PleaTypeID>60</PleaTypeID>
        <GroupPartyAlias>מבקשים</GroupPartyAlias>
        <IsConverted>false</IsConverted>
        <LegalEntityRegisteredNameID>10891757</LegalEntityRegisteredNameID>
        <RepresentatedNamesOfAssistant/>
        <LegalEntityTypeID>3</LegalEntityTypeID>
        <IsVerdictExists>false</IsVerdictExists>
        <IsAsirAzir>false</IsAsirAzir>
        <MainAndSecSpec/>
        <IsPublicationProhibited>false</IsPublicationProhibited>
        <PublicationProhibitedFullName>אייקון מילאנו בע"מ</PublicationProhibitedFullName>
      </CaseParties>
    </CasePartiesSelectionDS>
    <DecisionName>החלטה</DecisionName>
    <CourtDisplayName>בית המשפט המחוזי בתל אביב -יפו</CourtDisplayName>
    <IsCaseJudgePanel>false</IsCaseJudgePanel>
    <DecisionSignatureDate>2024-11-19T18:00:45.1122696+02:00</DecisionSignatureDate>
    <OpenCaseDate>2024-10-06T13:36:00+03:00</OpenCaseDate>
    <CaseFeeSum>2600000.000</CaseFeeSum>
    <DecisionTypeID>1</DecisionTypeID>
    <DecisionSignatureUserName>תמר סנונית פורר</DecisionSignatureUserName>
    <MotionID>109807529</MotionID>
    <DecisionSignatureDateHebrew>2024-11-19T18:00:45.1122696+02:00</DecisionSignatureDateHebrew>
    <MotionNumber>2</MotionNumber>
    <DecisionWriterID>032014706@GOV.IL</DecisionWriterID>
    <CourtAddress>רח' ויצמן  1 היכל המשפט, תל אביב -יפו 64239</CourtAddress>
    <IsAutoTextInCaseExist>false</IsAutoTextInCaseExist>
    <DecisionSignatureRoleName>שופט</DecisionSignatureRoleName>
    <DecisionSignatureUserTitleName>שופטת</DecisionSignatureUserTitleName>
    <CaseName>זכריה ואח' נ' ריימל יבוא ושיווק בע"מ ואח'</CaseName>
    <DecisionNumberInCase>15</DecisionNumberInCase>
  </dt_Decision>
  <dt_DecisionCase>
    <DecisionID>0</DecisionID>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iesSelectionDS>
      <CaseParties>
        <PartyTypeName>בא כוח</PartyTypeName>
        <ProceedingType>כתב טענות עיקרי</ProceedingType>
        <PleaName>כתב תביעה</PleaName>
        <PartyBelonging> - </PartyBelonging>
        <RoleName>בא כוח נתבעים</RoleName>
        <IsSubProceeding>FALSE</IsSubProceeding>
        <FullName>צורי ללוש</FullName>
        <FirstName>צורי</FirstName>
        <LastName>ללוש</LastName>
        <PartyPropertyName/>
        <AuthenticationTypeAndNumber>מ.ר. 87738</AuthenticationTypeAndNumber>
        <RepresentatedOrRepresentativesNames> , חן אללוף,  אר. אל. טי השקעות ופיננסים בע"מ, רון גומא, יונה גיא</RepresentatedOrRepresentativesNames>
        <RepresentatedOrRepresentativesCount>5</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278739103</CasePartyID>
        <PartyTypeID>2</PartyTypeID>
        <ActivityStatusID>1</ActivityStatusID>
        <PartyAliasID>21</PartyAliasID>
        <PartyAliasName>בא כוח נתבעים</PartyAliasName>
        <LegalEntityID>79477783</LegalEntityID>
        <CaseLegalEntityID>132668832</CaseLegalEntityID>
        <AuthenticationTypeID>4</AuthenticationTypeID>
        <AuthenticationTypeName>מ.ר.</AuthenticationTypeName>
        <LegalEntityNumber>87738</LegalEntityNumber>
        <IsMainPartyType>true</IsMainPartyType>
        <CaseDisplayIdentifier>7460-10-24</CaseDisplayIdentifier>
        <CaseTypeID>1</CaseTypeID>
        <CaseTypeName>תיק אזרחי בסדר דין רגיל (ת"א)</CaseTypeName>
        <CaseName>זכריה ואח' נ' ריימל יבוא ושיווק בע"מ ואח'</CaseName>
        <FullAddress>יהושוע טהון 33 חולון </FullAddress>
        <EmailAddress>zurilawoffice@gmail.com</EmailAddress>
        <MotionID>0</MotionID>
        <CasePleaID>0</CasePleaID>
        <LinkedCaseID>0</LinkedCaseID>
        <PartyID>2</PartyID>
        <CasePartyCategoryID>2</CasePartyCategoryID>
        <LegalEntityAddressID>84734161</LegalEntityAddressID>
        <LegalEntityEmailAddressID>68100330</LegalEntityEmailAddressID>
        <PleaTypeID>4</PleaTypeID>
        <LawyerOfficeName>משרד עו"ד צורי ללוש</LawyerOfficeName>
        <LawyerOfficeID>79477784</LawyerOfficeID>
        <GroupPartyAlias/>
        <IsConverted>false</IsConverted>
        <LegalEntityNameID>90763548</LegalEntityNameID>
        <RepresentatedNamesOfAssistant/>
        <LegalEntityTypeID>4</LegalEntityTypeID>
        <IsVerdictExists>false</IsVerdictExists>
        <IsAsirAzir>false</IsAsirAzir>
        <MainAndSecSpec/>
        <IsPublicationProhibited>false</IsPublicationProhibited>
        <PublicationProhibitedFullName>צורי ללוש</PublicationProhibitedFullName>
      </CaseParties>
      <CaseParties>
        <PartyTypeName>צד</PartyTypeName>
        <ProceedingType>בקשות</ProceedingType>
        <PleaName>בקשה של תובע 1 צו לא תעשה (צו מניעה) זמני </PleaName>
        <PartyBelonging>צד א'</PartyBelonging>
        <RoleName>מבקש 1</RoleName>
        <IsSubProceeding>TRUE</IsSubProceeding>
        <FullName>דן זכריה</FullName>
        <FirstName>דן</FirstName>
        <LastName>זכריה</LastName>
        <PartyPropertyName/>
        <AuthenticationTypeAndNumber>ת"ז 305443566</AuthenticationTypeAndNumber>
        <RepresentatedOrRepresentativesNames>ערן פרזנטי</RepresentatedOrRepresentativesNames>
        <RepresentatedOrRepresentativesCount>1</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278345714</CasePartyID>
        <PartyTypeID>1</PartyTypeID>
        <ActivityStatusID>1</ActivityStatusID>
        <PartyAliasID>3</PartyAliasID>
        <PartyAliasName>מבקש</PartyAliasName>
        <OrdinalNumber>1</OrdinalNumber>
        <LegalEntityID>57375863</LegalEntityID>
        <CaseLegalEntityID>132545730</CaseLegalEntityID>
        <AuthenticationTypeID>1</AuthenticationTypeID>
        <AuthenticationTypeName>ת"ז</AuthenticationTypeName>
        <LegalEntityNumber>305443566</LegalEntityNumber>
        <IsMainPartyType>false</IsMainPartyType>
        <CaseDisplayIdentifier>7460-10-24</CaseDisplayIdentifier>
        <CaseTypeID>1</CaseTypeID>
        <CaseTypeName>תיק אזרחי בסדר דין רגיל (ת"א)</CaseTypeName>
        <CaseName>זכריה ואח' נ' ריימל יבוא ושיווק בע"מ ואח'</CaseName>
        <FullAddress>בארי 37 נתניה </FullAddress>
        <EmailAddress>dan@iconmilano.com</EmailAddress>
        <MotionID>109807529</MotionID>
        <CasePleaID>0</CasePleaID>
        <FatherName>אלקנה</FatherName>
        <LinkedCaseID>0</LinkedCaseID>
        <PartyID>1</PartyID>
        <CasePartyCategoryID>4</CasePartyCategoryID>
        <LegalEntityAddressID>91031286</LegalEntityAddressID>
        <LegalEntityEmailAddressID>68439251</LegalEntityEmailAddressID>
        <GrandfatherName/>
        <DrivingLicenseNumber>9010760</DrivingLicenseNumber>
        <PleaTypeID>60</PleaTypeID>
        <GroupPartyAlias>מבקשים</GroupPartyAlias>
        <IsConverted>false</IsConverted>
        <LegalEntityRegisteredNameID>5253524</LegalEntityRegisteredNameID>
        <LegalEntityNameID>98310157</LegalEntityNameID>
        <RepresentatedNamesOfAssistant/>
        <PopulationRegisterVerificationStatusID>1</PopulationRegisterVerificationStatusID>
        <LegalEntityTypeID>1</LegalEntityTypeID>
        <IsVerdictExists>false</IsVerdictExists>
        <IsAsirAzir>false</IsAsirAzir>
        <MainAndSecSpec/>
        <IsPublicationProhibited>false</IsPublicationProhibited>
        <PublicationProhibitedFullName>דן זכריה</PublicationProhibitedFullName>
      </CaseParties>
      <CaseParties>
        <PartyTypeName>צד</PartyTypeName>
        <ProceedingType>בקשות</ProceedingType>
        <PleaName>בקשה של תובע 1 צו לא תעשה (צו מניעה) זמני </PleaName>
        <PartyBelonging>צד ב'</PartyBelonging>
        <RoleName>משיב 1</RoleName>
        <IsSubProceeding>TRUE</IsSubProceeding>
        <FullName>ריימל יבוא ושיווק בע"מ</FullName>
        <LastName>ריימל יבוא ושיווק בע"מ</LastName>
        <PartyPropertyName/>
        <AuthenticationTypeAndNumber>חברות 515670388</AuthenticationTypeAndNumber>
        <RepresentatedOrRepresentativesNames>צורי ללוש</RepresentatedOrRepresentativesNames>
        <RepresentatedOrRepresentativesCount>1</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278345716</CasePartyID>
        <PartyTypeID>1</PartyTypeID>
        <ActivityStatusID>1</ActivityStatusID>
        <PartyAliasID>4</PartyAliasID>
        <PartyAliasName>משיב</PartyAliasName>
        <OrdinalNumber>1</OrdinalNumber>
        <LegalEntityID>76388684</LegalEntityID>
        <CaseLegalEntityID>132545733</CaseLegalEntityID>
        <AuthenticationTypeID>3</AuthenticationTypeID>
        <AuthenticationTypeName>חברות</AuthenticationTypeName>
        <LegalEntityNumber>515670388</LegalEntityNumber>
        <IsMainPartyType>false</IsMainPartyType>
        <CaseDisplayIdentifier>7460-10-24</CaseDisplayIdentifier>
        <CaseTypeID>1</CaseTypeID>
        <CaseTypeName>תיק אזרחי בסדר דין רגיל (ת"א)</CaseTypeName>
        <CaseName>זכריה ואח' נ' ריימל יבוא ושיווק בע"מ ואח'</CaseName>
        <FullAddress>דרך בן צבי 84 תל אביב -יפו </FullAddress>
        <MotionID>109807529</MotionID>
        <CasePleaID>0</CasePleaID>
        <LinkedCaseID>0</LinkedCaseID>
        <PartyID>2</PartyID>
        <CasePartyCategoryID>4</CasePartyCategoryID>
        <LegalEntityAddressID>91033249</LegalEntityAddressID>
        <PleaTypeID>60</PleaTypeID>
        <GroupPartyAlias>משיבים</GroupPartyAlias>
        <IsConverted>false</IsConverted>
        <LegalEntityRegisteredNameID>6444793</LegalEntityRegisteredNameID>
        <RepresentatedNamesOfAssistant/>
        <LegalEntityTypeID>3</LegalEntityTypeID>
        <IsVerdictExists>false</IsVerdictExists>
        <IsAsirAzir>false</IsAsirAzir>
        <MainAndSecSpec/>
        <IsPublicationProhibited>false</IsPublicationProhibited>
        <PublicationProhibitedFullName>ריימל יבוא ושיווק בע"מ</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ערן פרזנטי</FullName>
        <FirstName>ערן</FirstName>
        <LastName>פרזנטי</LastName>
        <PartyPropertyName/>
        <AuthenticationTypeAndNumber>מ.ר. 24591</AuthenticationTypeAndNumber>
        <RepresentatedOrRepresentativesNames> , דן זכריה</RepresentatedOrRepresentativesNames>
        <RepresentatedOrRepresentativesCount>2</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278344960</CasePartyID>
        <PartyTypeID>2</PartyTypeID>
        <ActivityStatusID>1</ActivityStatusID>
        <PartyAliasID>20</PartyAliasID>
        <PartyAliasName>בא כוח תובעים</PartyAliasName>
        <OrdinalNumber>1</OrdinalNumber>
        <LegalEntityID>389231</LegalEntityID>
        <CaseLegalEntityID>132545732</CaseLegalEntityID>
        <AuthenticationTypeID>4</AuthenticationTypeID>
        <AuthenticationTypeName>מ.ר.</AuthenticationTypeName>
        <LegalEntityNumber>24591</LegalEntityNumber>
        <IsMainPartyType>true</IsMainPartyType>
        <CaseDisplayIdentifier>7460-10-24</CaseDisplayIdentifier>
        <CaseTypeID>1</CaseTypeID>
        <CaseTypeName>תיק אזרחי בסדר דין רגיל (ת"א)</CaseTypeName>
        <CaseName>זכריה ואח' נ' ריימל יבוא ושיווק בע"מ ואח'</CaseName>
        <FullAddress>השלושה 2 תל אביב -יפו ת.ד 9445</FullAddress>
        <MotionID>0</MotionID>
        <CasePleaID>0</CasePleaID>
        <LinkedCaseID>0</LinkedCaseID>
        <PartyID>1</PartyID>
        <CasePartyCategoryID>2</CasePartyCategoryID>
        <LegalEntityAddressID>84898003</LegalEntityAddressID>
        <PleaTypeID>4</PleaTypeID>
        <LawyerOfficeName>מ.פירון ושות' משרד עו"ד</LawyerOfficeName>
        <LawyerOfficeID>419173</LawyerOfficeID>
        <GroupPartyAlias/>
        <IsConverted>false</IsConverted>
        <LegalEntityNameID>10215</LegalEntityNameID>
        <RepresentatedNamesOfAssistant/>
        <LegalEntityTypeID>4</LegalEntityTypeID>
        <IsVerdictExists>false</IsVerdictExists>
        <IsAsirAzir>false</IsAsirAzir>
        <MainAndSecSpec/>
        <IsPublicationProhibited>false</IsPublicationProhibited>
        <PublicationProhibitedFullName>ערן פרזנטי</PublicationProhibitedFullName>
      </CaseParties>
      <CaseParties>
        <PartyTypeName>צד</PartyTypeName>
        <ProceedingType>בקשות</ProceedingType>
        <PleaName>בקשה של תובע 1 צו לא תעשה (צו מניעה) זמני </PleaName>
        <PartyBelonging>צד א'</PartyBelonging>
        <RoleName>מבקש 2</RoleName>
        <IsSubProceeding>TRUE</IsSubProceeding>
        <FullName>אייקון מילאנו בע"מ</FullName>
        <LastName>אייקון מילאנו בע"מ</LastName>
        <PartyPropertyName/>
        <AuthenticationTypeAndNumber>חברות 516878089</AuthenticationTypeAndNumber>
        <RepresentatedOrRepresentativesNames>ערן פרזנטי</RepresentatedOrRepresentativesNames>
        <RepresentatedOrRepresentativesCount>1</RepresentatedOrRepresentativesCount>
        <InvitedBy/>
        <CaseID>82016766</CaseID>
        <CaseJudicialPersonPresentationDS>
          <CaseJudicalPersonActive>
            <CaseID>82016766</CaseID>
            <MotionID>109807529</MotionID>
            <JudicialPersonID>032014706@GOV.IL</JudicialPersonID>
            <JudicialPersonTypeID>1</JudicialPersonTypeID>
            <JudicialTypeID>1</JudicialTypeID>
            <IsChairman>false</IsChairman>
            <TreatmentStartDate>2024-10-06T14:15:43.573+03:00</TreatmentStartDate>
            <TreatmentFinishDate>9999-12-31T23:59:59.997+02:00</TreatmentFinishDate>
            <IdentificationCardNumber>032014706</IdentificationCardNumber>
            <DisplayName>תמר סנונית פורר</DisplayName>
            <JudicialTypeName>שופט</JudicialTypeName>
            <CaseJudicialGroupNumber>0</CaseJudicialGroupNumber>
            <FirstName>תמר</FirstName>
            <LastName>סנונית פורר</LastName>
            <JudicialPersonTitle>שופט</JudicialPersonTitle>
          </CaseJudicalPersonActive>
        </CaseJudicialPersonPresentationDS>
        <CasePartyID>278345715</CasePartyID>
        <PartyTypeID>1</PartyTypeID>
        <ActivityStatusID>1</ActivityStatusID>
        <PartyAliasID>3</PartyAliasID>
        <PartyAliasName>מבקש</PartyAliasName>
        <OrdinalNumber>2</OrdinalNumber>
        <LegalEntityID>82964006</LegalEntityID>
        <CaseLegalEntityID>132545731</CaseLegalEntityID>
        <AuthenticationTypeID>3</AuthenticationTypeID>
        <AuthenticationTypeName>חברות</AuthenticationTypeName>
        <LegalEntityNumber>516878089</LegalEntityNumber>
        <IsMainPartyType>false</IsMainPartyType>
        <CaseDisplayIdentifier>7460-10-24</CaseDisplayIdentifier>
        <CaseTypeID>1</CaseTypeID>
        <CaseTypeName>תיק אזרחי בסדר דין רגיל (ת"א)</CaseTypeName>
        <CaseName>זכריה ואח' נ' ריימל יבוא ושיווק בע"מ ואח'</CaseName>
        <FullAddress>הפלד 7 חולון </FullAddress>
        <EmailAddress>eranp@firon.co.il</EmailAddress>
        <MotionID>109807529</MotionID>
        <CasePleaID>0</CasePleaID>
        <LinkedCaseID>0</LinkedCaseID>
        <PartyID>1</PartyID>
        <CasePartyCategoryID>4</CasePartyCategoryID>
        <LegalEntityAddressID>91033242</LegalEntityAddressID>
        <LegalEntityEmailAddressID>68439256</LegalEntityEmailAddressID>
        <PleaTypeID>60</PleaTypeID>
        <GroupPartyAlias>מבקשים</GroupPartyAlias>
        <IsConverted>false</IsConverted>
        <LegalEntityRegisteredNameID>10891757</LegalEntityRegisteredNameID>
        <RepresentatedNamesOfAssistant/>
        <LegalEntityTypeID>3</LegalEntityTypeID>
        <IsVerdictExists>false</IsVerdictExists>
        <IsAsirAzir>false</IsAsirAzir>
        <MainAndSecSpec/>
        <IsPublicationProhibited>false</IsPublicationProhibited>
        <PublicationProhibitedFullName>אייקון מילאנו בע"מ</PublicationProhibitedFullName>
      </CaseParties>
    </CasePartiesSelectionDS>
    <CaseName>זכריה ואח' נ' ריימל יבוא ושיווק בע"מ ואח'</CaseName>
    <CaseDisplayIdentifier>7460-10-24</CaseDisplayIdentifier>
    <CaseInterestID>97</CaseInterestID>
    <CaseTypeShortName>ת"א</CaseTypeShortName>
  </dt_DecisionCase>
  <dt_DecisionJudgePanel>
    <JudgeID>032014706@GOV.IL</JudgeID>
    <DisplayName>תמר סנונית פורר</DisplayName>
    <RoleName>שופט</RoleName>
    <UserTitleName>שופטת</UserTitleName>
  </dt_DecisionJudgePanel>
  <dt_LegalEntityDetails>
    <Phone>054-3040988</Phone>
    <PartyID>2</PartyID>
    <PartyTypeID>2</PartyTypeID>
    <DecisionID>0</DecisionID>
    <StreetName>יהושוע טהון 33</StreetName>
    <ZipCode>5880107</ZipCode>
    <CityName>חולון</CityName>
    <FullName>צורי ללוש</FullName>
    <Email>zurilawoffice@gmail.com</Email>
    <IsPublicationProhibited>false</IsPublicationProhibited>
  </dt_LegalEntityDetails>
  <dt_LegalEntityDetails>
    <PartyID>1</PartyID>
    <PartyTypeID>1</PartyTypeID>
    <DecisionID>0</DecisionID>
    <StreetName>בארי 37</StreetName>
    <CityName>נתניה</CityName>
    <FullName>דן זכריה</FullName>
    <Email>dan@iconmilano.com</Email>
    <IsPublicationProhibited>false</IsPublicationProhibited>
  </dt_LegalEntityDetails>
  <dt_LegalEntityDetails>
    <Fax>03-7540011</Fax>
    <AddressDesc>ת.ד 9445</AddressDesc>
    <PartyID>1</PartyID>
    <PartyTypeID>2</PartyTypeID>
    <DecisionID>0</DecisionID>
    <StreetName>השלושה 2</StreetName>
    <ZipCode>6706054</ZipCode>
    <CityName>תל אביב -יפו</CityName>
    <FullName>ערן פרזנטי</FullName>
    <Email>net_hamishpat@firon.co.il</Email>
    <IsPublicationProhibited>false</IsPublicationProhibited>
  </dt_LegalEntityDetails>
  <dt_LegalEntityDetails>
    <PartyID>2</PartyID>
    <PartyTypeID>1</PartyTypeID>
    <DecisionID>0</DecisionID>
    <StreetName>דרך בן צבי 84</StreetName>
    <ZipCode>6810431</ZipCode>
    <CityName>תל אביב -יפו</CityName>
    <FullName> ריימל יבוא ושיווק בע"מ</FullName>
    <Email>office@reymelgroup.com</Email>
    <IsPublicationProhibited>false</IsPublicationProhibited>
  </dt_LegalEntityDetails>
  <dt_LegalEntityDetails>
    <PartyID>1</PartyID>
    <PartyTypeID>1</PartyTypeID>
    <DecisionID>0</DecisionID>
    <StreetName>הפלד 7</StreetName>
    <ZipCode>5881203</ZipCode>
    <CityName>חולון</CityName>
    <FullName> אייקון מילאנו בע"מ</FullName>
    <Email>eranp@firon.co.il</Email>
    <IsPublicationProhibited>false</IsPublicationProhibited>
  </dt_LegalEntityDetails>
  <dt_LegalEntityDetails>
    <PartyID>2</PartyID>
    <PartyTypeID>1</PartyTypeID>
    <DecisionID>0</DecisionID>
    <StreetName>אליהו חכים 8</StreetName>
    <CityName>תל אביב -יפו</CityName>
    <FullName>יונה גיא</FullName>
    <IsPublicationProhibited>false</IsPublicationProhibited>
  </dt_LegalEntityDetails>
  <dt_LegalEntityDetails>
    <PartyID>2</PartyID>
    <PartyTypeID>1</PartyTypeID>
    <DecisionID>0</DecisionID>
    <StreetName>דולפין 10</StreetName>
    <CityName>בת ים</CityName>
    <FullName>חן אללוף</FullName>
    <IsPublicationProhibited>false</IsPublicationProhibited>
  </dt_LegalEntityDetails>
  <dt_LegalEntityDetails>
    <PartyID>2</PartyID>
    <PartyTypeID>1</PartyTypeID>
    <DecisionID>0</DecisionID>
    <StreetName>התורמוס8</StreetName>
    <ZipCode>7572208</ZipCode>
    <CityName>ראשון לציון</CityName>
    <FullName> אר. אל. טי השקעות ופיננסים בע"מ</FullName>
    <Email>ronguma7@gmail.com</Email>
    <IsPublicationProhibited>false</IsPublicationProhibited>
  </dt_LegalEntityDetails>
  <dt_LegalEntityDetails>
    <PartyID>2</PartyID>
    <PartyTypeID>1</PartyTypeID>
    <DecisionID>0</DecisionID>
    <StreetName>שלמה בן יוסף 13</StreetName>
    <CityName>תל אביב -יפו</CityName>
    <FullName>רון גומא</FullName>
    <Email>ronguma7@gmail.com</Email>
    <IsPublicationProhibited>false</IsPublicationProhibited>
  </dt_LegalEntityDetails>
  <dt_CaseJudicalPersonActive>
    <CaseJudicalPerson>שופטת תמר סנונית פורר</CaseJudicalPerson>
  </dt_CaseJudicalPersonActive>
  <dt_Sitting>
    <PreviousMeetingDate>2024-11-04T09:00:00+02:00</PreviousMeetingDate>
    <PreviousSittingTypeID>6</PreviousSittingTypeID>
    <PreviousMeetingDisplayName>שופטת תמר סנונית פורר</PreviousMeetingDisplayName>
    <PreviousMeetingRoleName>שופט</PreviousMeetingRoleName>
    <PreviousMeetingUserTitleName>שופטת</PreviousMeetingUserTitleName>
    <PreviousMeetingUserUPN>032014706@GOV.IL</PreviousMeetingUserUPN>
  </dt_Sitting>
</DecisionTemplateD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18692F-FC4F-440B-BEBD-D8BB75277705}">
  <ds:schemaRefs/>
</ds:datastoreItem>
</file>

<file path=customXml/itemProps2.xml><?xml version="1.0" encoding="utf-8"?>
<ds:datastoreItem xmlns:ds="http://schemas.openxmlformats.org/officeDocument/2006/customXml" ds:itemID="{7CC40221-345A-42E8-A691-25D0F0D88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3880</Words>
  <Characters>19401</Characters>
  <Application>Microsoft Office Word</Application>
  <DocSecurity>0</DocSecurity>
  <Lines>161</Lines>
  <Paragraphs>46</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23235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dcterms:created xsi:type="dcterms:W3CDTF">2024-12-03T07:09:00Z</dcterms:created>
  <dcterms:modified xsi:type="dcterms:W3CDTF">2024-12-03T07:09:00Z</dcterms:modified>
</cp:coreProperties>
</file>